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GB"/>
        </w:rPr>
      </w:pPr>
      <w:r>
        <w:rPr>
          <w:lang w:val="en-GB"/>
        </w:rPr>
        <w:t>Vidzemes Augstskola</w:t>
      </w:r>
    </w:p>
    <w:p>
      <w:pPr>
        <w:pStyle w:val="Normal"/>
        <w:rPr>
          <w:lang w:val="en-GB"/>
        </w:rPr>
      </w:pPr>
      <w:r>
        <w:rPr>
          <w:lang w:val="en-GB"/>
        </w:rPr>
        <w:t>Personal data protection / 2023</w:t>
      </w:r>
    </w:p>
    <w:p>
      <w:pPr>
        <w:pStyle w:val="Normal"/>
        <w:rPr>
          <w:lang w:val="en-GB"/>
        </w:rPr>
      </w:pPr>
      <w:r>
        <w:rPr>
          <w:lang w:val="en-GB"/>
        </w:rPr>
      </w:r>
    </w:p>
    <w:p>
      <w:pPr>
        <w:pStyle w:val="1"/>
        <w:rPr>
          <w:lang w:val="en-GB"/>
        </w:rPr>
      </w:pPr>
      <w:r>
        <w:rPr>
          <w:lang w:val="en-GB"/>
        </w:rPr>
        <w:t>EXAM in course Personal Data Protection 2023 (2022.06.16)</w:t>
      </w:r>
    </w:p>
    <w:p>
      <w:pPr>
        <w:pStyle w:val="Normal"/>
        <w:rPr>
          <w:lang w:val="en-GB"/>
        </w:rPr>
      </w:pPr>
      <w:r>
        <w:rPr>
          <w:lang w:val="en-GB"/>
        </w:rPr>
      </w:r>
    </w:p>
    <w:p>
      <w:pPr>
        <w:pStyle w:val="Normal"/>
        <w:rPr>
          <w:lang w:val="en-GB"/>
        </w:rPr>
      </w:pPr>
      <w:r>
        <w:rPr>
          <w:lang w:val="en-GB"/>
        </w:rPr>
        <w:t xml:space="preserve">Student’s name, surname:  </w:t>
      </w:r>
      <w:r>
        <w:rPr>
          <w:bdr w:val="single" w:sz="4" w:space="0" w:color="000000"/>
          <w:shd w:fill="FF0000" w:val="clear"/>
          <w:lang w:val="en-GB"/>
        </w:rPr>
        <w:t xml:space="preserve">                </w:t>
      </w:r>
      <w:r>
        <w:rPr>
          <w:bdr w:val="single" w:sz="4" w:space="0" w:color="000000"/>
          <w:shd w:fill="FF0000" w:val="clear"/>
          <w:lang w:val="en-GB"/>
        </w:rPr>
        <w:t>Denys Shabelnyk</w:t>
      </w:r>
      <w:r>
        <w:rPr>
          <w:bdr w:val="single" w:sz="4" w:space="0" w:color="000000"/>
          <w:shd w:fill="FF0000" w:val="clear"/>
          <w:lang w:val="en-GB"/>
        </w:rPr>
        <w:t xml:space="preserve">                               </w:t>
      </w:r>
      <w:r>
        <w:rPr>
          <w:lang w:val="en-GB"/>
        </w:rPr>
        <w:t xml:space="preserve">   &lt;- PLEASE FILL IN</w:t>
      </w:r>
    </w:p>
    <w:p>
      <w:pPr>
        <w:pStyle w:val="Normal"/>
        <w:rPr>
          <w:lang w:val="en-GB"/>
        </w:rPr>
      </w:pPr>
      <w:r>
        <w:rPr>
          <w:lang w:val="en-GB"/>
        </w:rPr>
      </w:r>
    </w:p>
    <w:p>
      <w:pPr>
        <w:pStyle w:val="Normal"/>
        <w:pBdr>
          <w:top w:val="single" w:sz="4" w:space="1" w:color="000000"/>
          <w:left w:val="single" w:sz="4" w:space="4" w:color="000000"/>
          <w:bottom w:val="single" w:sz="4" w:space="1" w:color="000000"/>
          <w:right w:val="single" w:sz="4" w:space="4" w:color="000000"/>
        </w:pBdr>
        <w:rPr>
          <w:lang w:val="en-GB"/>
        </w:rPr>
      </w:pPr>
      <w:r>
        <w:rPr>
          <w:lang w:val="en-GB"/>
        </w:rPr>
        <w:t xml:space="preserve">Duration of the exam is </w:t>
      </w:r>
      <w:r>
        <w:rPr>
          <w:b/>
          <w:bCs/>
          <w:u w:val="single"/>
          <w:lang w:val="en-GB"/>
        </w:rPr>
        <w:t>3</w:t>
      </w:r>
      <w:r>
        <w:rPr>
          <w:lang w:val="en-GB"/>
        </w:rPr>
        <w:t xml:space="preserve"> (three) hours. The responses have to be handed in by the end of exam time in teacher’s email. </w:t>
      </w:r>
    </w:p>
    <w:p>
      <w:pPr>
        <w:pStyle w:val="Normal"/>
        <w:pBdr>
          <w:top w:val="single" w:sz="4" w:space="1" w:color="000000"/>
          <w:left w:val="single" w:sz="4" w:space="4" w:color="000000"/>
          <w:bottom w:val="single" w:sz="4" w:space="1" w:color="000000"/>
          <w:right w:val="single" w:sz="4" w:space="4" w:color="000000"/>
        </w:pBdr>
        <w:rPr>
          <w:lang w:val="en-GB"/>
        </w:rPr>
      </w:pPr>
      <w:r>
        <w:rPr>
          <w:lang w:val="en-GB"/>
        </w:rPr>
      </w:r>
    </w:p>
    <w:p>
      <w:pPr>
        <w:pStyle w:val="Normal"/>
        <w:pBdr>
          <w:top w:val="single" w:sz="4" w:space="1" w:color="000000"/>
          <w:left w:val="single" w:sz="4" w:space="4" w:color="000000"/>
          <w:bottom w:val="single" w:sz="4" w:space="1" w:color="000000"/>
          <w:right w:val="single" w:sz="4" w:space="4" w:color="000000"/>
        </w:pBdr>
        <w:jc w:val="center"/>
        <w:rPr>
          <w:color w:val="C00000"/>
          <w:lang w:val="en-GB"/>
        </w:rPr>
      </w:pPr>
      <w:r>
        <w:rPr>
          <w:b/>
          <w:bCs/>
          <w:color w:val="C00000"/>
          <w:lang w:val="en-GB"/>
        </w:rPr>
        <w:t>EXAM RESPONSES SENT IN AFTER THE DEADLINE ARE NOT ACCEPTED (GRADED WITH 0 POINTS)</w:t>
      </w:r>
    </w:p>
    <w:p>
      <w:pPr>
        <w:pStyle w:val="Normal"/>
        <w:pBdr>
          <w:top w:val="single" w:sz="4" w:space="1" w:color="000000"/>
          <w:left w:val="single" w:sz="4" w:space="4" w:color="000000"/>
          <w:bottom w:val="single" w:sz="4" w:space="1" w:color="000000"/>
          <w:right w:val="single" w:sz="4" w:space="4" w:color="000000"/>
        </w:pBdr>
        <w:rPr>
          <w:lang w:val="en-GB"/>
        </w:rPr>
      </w:pPr>
      <w:r>
        <w:rPr>
          <w:lang w:val="en-GB"/>
        </w:rPr>
      </w:r>
    </w:p>
    <w:p>
      <w:pPr>
        <w:pStyle w:val="Normal"/>
        <w:pBdr>
          <w:top w:val="single" w:sz="4" w:space="1" w:color="000000"/>
          <w:left w:val="single" w:sz="4" w:space="4" w:color="000000"/>
          <w:bottom w:val="single" w:sz="4" w:space="1" w:color="000000"/>
          <w:right w:val="single" w:sz="4" w:space="4" w:color="000000"/>
        </w:pBdr>
        <w:rPr>
          <w:color w:val="1F4E79" w:themeColor="accent5" w:themeShade="80"/>
          <w:lang w:val="en-GB"/>
        </w:rPr>
      </w:pPr>
      <w:r>
        <w:rPr>
          <w:color w:val="1F4E79" w:themeColor="accent5" w:themeShade="80"/>
          <w:lang w:val="en-GB"/>
        </w:rPr>
        <w:t>During the exam students are allowed to use all available materials from the course as well as other materials they find useful. Copy of contents from outside materials is forbidden, except the cases where citations are  used. Within each response % of citations shall not exceed 15% of overall response. Responses will be checked with content copyright tools.</w:t>
      </w:r>
    </w:p>
    <w:p>
      <w:pPr>
        <w:pStyle w:val="Normal"/>
        <w:pBdr>
          <w:top w:val="single" w:sz="4" w:space="1" w:color="000000"/>
          <w:left w:val="single" w:sz="4" w:space="4" w:color="000000"/>
          <w:bottom w:val="single" w:sz="4" w:space="1" w:color="000000"/>
          <w:right w:val="single" w:sz="4" w:space="4" w:color="000000"/>
        </w:pBdr>
        <w:rPr>
          <w:color w:val="1F4E79" w:themeColor="accent5" w:themeShade="80"/>
          <w:lang w:val="en-GB"/>
        </w:rPr>
      </w:pPr>
      <w:r>
        <w:rPr>
          <w:color w:val="1F4E79" w:themeColor="accent5" w:themeShade="80"/>
          <w:lang w:val="en-GB"/>
        </w:rPr>
      </w:r>
    </w:p>
    <w:p>
      <w:pPr>
        <w:pStyle w:val="Normal"/>
        <w:pBdr>
          <w:top w:val="single" w:sz="4" w:space="1" w:color="000000"/>
          <w:left w:val="single" w:sz="4" w:space="4" w:color="000000"/>
          <w:bottom w:val="single" w:sz="4" w:space="1" w:color="000000"/>
          <w:right w:val="single" w:sz="4" w:space="4" w:color="000000"/>
        </w:pBdr>
        <w:rPr>
          <w:color w:val="1F4E79" w:themeColor="accent5" w:themeShade="80"/>
          <w:lang w:val="en-GB"/>
        </w:rPr>
      </w:pPr>
      <w:r>
        <w:rPr>
          <w:color w:val="1F4E79" w:themeColor="accent5" w:themeShade="80"/>
          <w:lang w:val="en-GB"/>
        </w:rPr>
        <w:t>Every question has the maximum number of points indicated possible for the response. The number of points should also serve as indication for you as to how much effort you should spend on specific question.</w:t>
      </w:r>
    </w:p>
    <w:p>
      <w:pPr>
        <w:pStyle w:val="Normal"/>
        <w:pBdr>
          <w:top w:val="single" w:sz="4" w:space="1" w:color="000000"/>
          <w:left w:val="single" w:sz="4" w:space="4" w:color="000000"/>
          <w:bottom w:val="single" w:sz="4" w:space="1" w:color="000000"/>
          <w:right w:val="single" w:sz="4" w:space="4" w:color="000000"/>
        </w:pBdr>
        <w:rPr>
          <w:color w:val="1F4E79" w:themeColor="accent5" w:themeShade="80"/>
          <w:lang w:val="en-GB"/>
        </w:rPr>
      </w:pPr>
      <w:r>
        <w:rPr>
          <w:color w:val="1F4E79" w:themeColor="accent5" w:themeShade="80"/>
          <w:lang w:val="en-GB"/>
        </w:rPr>
      </w:r>
    </w:p>
    <w:p>
      <w:pPr>
        <w:pStyle w:val="Normal"/>
        <w:pBdr>
          <w:top w:val="single" w:sz="4" w:space="1" w:color="000000"/>
          <w:left w:val="single" w:sz="4" w:space="4" w:color="000000"/>
          <w:bottom w:val="single" w:sz="4" w:space="1" w:color="000000"/>
          <w:right w:val="single" w:sz="4" w:space="4" w:color="000000"/>
        </w:pBdr>
        <w:rPr>
          <w:color w:val="1F4E79" w:themeColor="accent5" w:themeShade="80"/>
          <w:lang w:val="en-GB"/>
        </w:rPr>
      </w:pPr>
      <w:r>
        <w:rPr>
          <w:color w:val="1F4E79" w:themeColor="accent5" w:themeShade="80"/>
          <w:lang w:val="en-GB"/>
        </w:rPr>
        <w:t>Please try to be specific in your responses (general or generic responses will be graded low). If you make assumptions about specific situations, please state them. Trying to lists all possible responses in order to “guess the  right one” will have points  deducted.</w:t>
      </w:r>
    </w:p>
    <w:p>
      <w:pPr>
        <w:pStyle w:val="Normal"/>
        <w:pBdr>
          <w:top w:val="single" w:sz="4" w:space="1" w:color="000000"/>
          <w:left w:val="single" w:sz="4" w:space="4" w:color="000000"/>
          <w:bottom w:val="single" w:sz="4" w:space="1" w:color="000000"/>
          <w:right w:val="single" w:sz="4" w:space="4" w:color="000000"/>
        </w:pBdr>
        <w:rPr>
          <w:color w:val="1F4E79" w:themeColor="accent5" w:themeShade="80"/>
          <w:lang w:val="en-GB"/>
        </w:rPr>
      </w:pPr>
      <w:r>
        <w:rPr>
          <w:color w:val="1F4E79" w:themeColor="accent5" w:themeShade="80"/>
          <w:lang w:val="en-GB"/>
        </w:rPr>
      </w:r>
    </w:p>
    <w:p>
      <w:pPr>
        <w:pStyle w:val="Normal"/>
        <w:pBdr>
          <w:top w:val="single" w:sz="4" w:space="1" w:color="000000"/>
          <w:left w:val="single" w:sz="4" w:space="4" w:color="000000"/>
          <w:bottom w:val="single" w:sz="4" w:space="1" w:color="000000"/>
          <w:right w:val="single" w:sz="4" w:space="4" w:color="000000"/>
        </w:pBdr>
        <w:jc w:val="center"/>
        <w:rPr>
          <w:b/>
          <w:b/>
          <w:bCs/>
          <w:color w:val="C00000"/>
          <w:lang w:val="en-GB"/>
        </w:rPr>
      </w:pPr>
      <w:r>
        <w:rPr>
          <w:b/>
          <w:bCs/>
          <w:color w:val="C00000"/>
          <w:lang w:val="en-GB"/>
        </w:rPr>
        <w:t>PLEASE FOLLOW THE TIME ALLOCATED (SET REMINDER) SO NOT TO BE LATE!!!</w:t>
      </w:r>
    </w:p>
    <w:p>
      <w:pPr>
        <w:pStyle w:val="Normal"/>
        <w:rPr>
          <w:lang w:val="en-GB"/>
        </w:rPr>
      </w:pPr>
      <w:r>
        <w:rPr>
          <w:lang w:val="en-GB"/>
        </w:rPr>
      </w:r>
      <w:r>
        <w:br w:type="page"/>
      </w:r>
    </w:p>
    <w:p>
      <w:pPr>
        <w:pStyle w:val="1"/>
        <w:rPr>
          <w:lang w:val="en-GB"/>
        </w:rPr>
      </w:pPr>
      <w:r>
        <w:rPr>
          <w:lang w:val="en-GB"/>
        </w:rPr>
        <w:t>Questions and responses</w:t>
      </w:r>
    </w:p>
    <w:tbl>
      <w:tblPr>
        <w:tblStyle w:val="TableGrid"/>
        <w:tblW w:w="13309"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4662"/>
        <w:gridCol w:w="8646"/>
      </w:tblGrid>
      <w:tr>
        <w:trPr/>
        <w:tc>
          <w:tcPr>
            <w:tcW w:w="4662" w:type="dxa"/>
            <w:tcBorders/>
          </w:tcPr>
          <w:p>
            <w:pPr>
              <w:pStyle w:val="Normal"/>
              <w:widowControl/>
              <w:spacing w:before="0" w:after="0"/>
              <w:jc w:val="left"/>
              <w:rPr>
                <w:lang w:val="en-GB"/>
              </w:rPr>
            </w:pPr>
            <w:r>
              <w:rPr>
                <w:rFonts w:eastAsia="Calibri" w:cs=""/>
                <w:kern w:val="0"/>
                <w:sz w:val="24"/>
                <w:szCs w:val="24"/>
                <w:lang w:val="en-GB" w:eastAsia="en-US" w:bidi="ar-SA"/>
              </w:rPr>
              <w:t>Question</w:t>
            </w:r>
          </w:p>
        </w:tc>
        <w:tc>
          <w:tcPr>
            <w:tcW w:w="8646" w:type="dxa"/>
            <w:tcBorders/>
          </w:tcPr>
          <w:p>
            <w:pPr>
              <w:pStyle w:val="Normal"/>
              <w:widowControl/>
              <w:spacing w:before="0" w:after="0"/>
              <w:jc w:val="left"/>
              <w:rPr>
                <w:lang w:val="en-GB"/>
              </w:rPr>
            </w:pPr>
            <w:r>
              <w:rPr>
                <w:rFonts w:eastAsia="Calibri" w:cs=""/>
                <w:kern w:val="0"/>
                <w:sz w:val="24"/>
                <w:szCs w:val="24"/>
                <w:lang w:val="en-GB" w:eastAsia="en-US" w:bidi="ar-SA"/>
              </w:rPr>
              <w:t>Response</w:t>
            </w:r>
          </w:p>
        </w:tc>
      </w:tr>
      <w:tr>
        <w:trPr/>
        <w:tc>
          <w:tcPr>
            <w:tcW w:w="4662" w:type="dxa"/>
            <w:tcBorders/>
          </w:tcPr>
          <w:p>
            <w:pPr>
              <w:pStyle w:val="ListParagraph"/>
              <w:widowControl/>
              <w:numPr>
                <w:ilvl w:val="0"/>
                <w:numId w:val="1"/>
              </w:numPr>
              <w:spacing w:before="0" w:after="0"/>
              <w:contextualSpacing/>
              <w:jc w:val="left"/>
              <w:rPr>
                <w:lang w:val="en-GB"/>
              </w:rPr>
            </w:pPr>
            <w:r>
              <w:rPr>
                <w:rFonts w:eastAsia="Calibri" w:cs=""/>
                <w:kern w:val="0"/>
                <w:sz w:val="24"/>
                <w:szCs w:val="24"/>
                <w:lang w:val="en-GB" w:eastAsia="en-US" w:bidi="ar-SA"/>
              </w:rPr>
              <w:t>Question (</w:t>
            </w:r>
            <w:r>
              <w:rPr>
                <w:rFonts w:eastAsia="Calibri" w:cs=""/>
                <w:i/>
                <w:iCs/>
                <w:kern w:val="0"/>
                <w:sz w:val="24"/>
                <w:szCs w:val="24"/>
                <w:lang w:val="en-GB" w:eastAsia="en-US" w:bidi="ar-SA"/>
              </w:rPr>
              <w:t>Right to restriction of processing)</w:t>
            </w:r>
            <w:r>
              <w:rPr>
                <w:rFonts w:eastAsia="Calibri" w:cs=""/>
                <w:kern w:val="0"/>
                <w:sz w:val="24"/>
                <w:szCs w:val="24"/>
                <w:lang w:val="en-GB" w:eastAsia="en-US" w:bidi="ar-SA"/>
              </w:rPr>
              <w:t xml:space="preserve"> 10 points</w:t>
              <w:br/>
              <w:br/>
              <w:t>Describe the circumstances in which the "right to restriction of processing" can be exercised, situations in which such requests should be declined, and the necessary actions the Controller/Processor must take to fulfill these requests. Provide relevant examples for both scenarios.</w:t>
              <w:br/>
              <w:br/>
            </w:r>
          </w:p>
        </w:tc>
        <w:tc>
          <w:tcPr>
            <w:tcW w:w="8646" w:type="dxa"/>
            <w:tcBorders/>
          </w:tcPr>
          <w:p>
            <w:pPr>
              <w:pStyle w:val="Normal"/>
              <w:widowControl/>
              <w:spacing w:before="0" w:after="0"/>
              <w:jc w:val="left"/>
              <w:rPr>
                <w:rFonts w:ascii="Calibri" w:hAnsi="Calibri"/>
                <w:b w:val="false"/>
                <w:b w:val="false"/>
                <w:bCs w:val="false"/>
                <w:kern w:val="0"/>
                <w:sz w:val="24"/>
                <w:szCs w:val="24"/>
                <w:lang w:val="en-US" w:eastAsia="en-US" w:bidi="ar-SA"/>
              </w:rPr>
            </w:pPr>
            <w:r>
              <w:rPr>
                <w:b w:val="false"/>
                <w:bCs w:val="false"/>
                <w:kern w:val="0"/>
                <w:sz w:val="24"/>
                <w:szCs w:val="24"/>
                <w:lang w:val="en-US" w:eastAsia="en-US" w:bidi="ar-SA"/>
              </w:rPr>
              <w:t>You can use restrictions when:</w:t>
              <w:br/>
              <w:t>1) data is corrupted;</w:t>
            </w:r>
          </w:p>
          <w:p>
            <w:pPr>
              <w:pStyle w:val="Normal"/>
              <w:widowControl/>
              <w:spacing w:before="0" w:after="0"/>
              <w:jc w:val="left"/>
              <w:rPr>
                <w:rFonts w:ascii="Calibri" w:hAnsi="Calibri"/>
                <w:b w:val="false"/>
                <w:b w:val="false"/>
                <w:bCs w:val="false"/>
                <w:kern w:val="0"/>
                <w:sz w:val="24"/>
                <w:szCs w:val="24"/>
                <w:lang w:val="en-US" w:eastAsia="en-US" w:bidi="ar-SA"/>
              </w:rPr>
            </w:pPr>
            <w:r>
              <w:rPr>
                <w:b w:val="false"/>
                <w:bCs w:val="false"/>
                <w:kern w:val="0"/>
                <w:sz w:val="24"/>
                <w:szCs w:val="24"/>
                <w:lang w:val="en-US" w:eastAsia="en-US" w:bidi="ar-SA"/>
              </w:rPr>
              <w:t>2) data use without legal permits;</w:t>
            </w:r>
          </w:p>
          <w:p>
            <w:pPr>
              <w:pStyle w:val="Normal"/>
              <w:widowControl/>
              <w:spacing w:before="0" w:after="0"/>
              <w:jc w:val="left"/>
              <w:rPr>
                <w:rFonts w:ascii="Calibri" w:hAnsi="Calibri"/>
                <w:b w:val="false"/>
                <w:b w:val="false"/>
                <w:bCs w:val="false"/>
                <w:kern w:val="0"/>
                <w:sz w:val="24"/>
                <w:szCs w:val="24"/>
                <w:lang w:val="en-US" w:eastAsia="en-US" w:bidi="ar-SA"/>
              </w:rPr>
            </w:pPr>
            <w:r>
              <w:rPr>
                <w:b w:val="false"/>
                <w:bCs w:val="false"/>
                <w:kern w:val="0"/>
                <w:sz w:val="24"/>
                <w:szCs w:val="24"/>
                <w:lang w:val="en-US" w:eastAsia="en-US" w:bidi="ar-SA"/>
              </w:rPr>
              <w:t xml:space="preserve">3) </w:t>
            </w:r>
            <w:r>
              <w:rPr>
                <w:b/>
                <w:bCs/>
                <w:kern w:val="0"/>
                <w:sz w:val="24"/>
                <w:szCs w:val="24"/>
                <w:lang w:val="en-US" w:eastAsia="en-US" w:bidi="ar-SA"/>
              </w:rPr>
              <w:t>Action by controller:</w:t>
            </w:r>
            <w:r>
              <w:rPr>
                <w:b w:val="false"/>
                <w:bCs w:val="false"/>
                <w:kern w:val="0"/>
                <w:sz w:val="24"/>
                <w:szCs w:val="24"/>
                <w:lang w:val="en-US" w:eastAsia="en-US" w:bidi="ar-SA"/>
              </w:rPr>
              <w:t xml:space="preserve"> evaluate risk and closed access to the data;</w:t>
            </w:r>
          </w:p>
          <w:p>
            <w:pPr>
              <w:pStyle w:val="Normal"/>
              <w:widowControl/>
              <w:spacing w:before="0" w:after="0"/>
              <w:jc w:val="left"/>
              <w:rPr>
                <w:rFonts w:ascii="Calibri" w:hAnsi="Calibri"/>
                <w:b w:val="false"/>
                <w:b w:val="false"/>
                <w:bCs w:val="false"/>
                <w:kern w:val="0"/>
                <w:sz w:val="24"/>
                <w:szCs w:val="24"/>
                <w:lang w:val="en-US" w:eastAsia="en-US" w:bidi="ar-SA"/>
              </w:rPr>
            </w:pPr>
            <w:r>
              <w:rPr>
                <w:b w:val="false"/>
                <w:bCs w:val="false"/>
                <w:kern w:val="0"/>
                <w:sz w:val="24"/>
                <w:szCs w:val="24"/>
                <w:lang w:val="en-US" w:eastAsia="en-US" w:bidi="ar-SA"/>
              </w:rPr>
              <w:t xml:space="preserve">4) </w:t>
            </w:r>
            <w:r>
              <w:rPr>
                <w:b/>
                <w:bCs/>
                <w:kern w:val="0"/>
                <w:sz w:val="24"/>
                <w:szCs w:val="24"/>
                <w:lang w:val="en-US" w:eastAsia="en-US" w:bidi="ar-SA"/>
              </w:rPr>
              <w:t xml:space="preserve">Action by processor: </w:t>
            </w:r>
            <w:r>
              <w:rPr>
                <w:b w:val="false"/>
                <w:bCs w:val="false"/>
                <w:kern w:val="0"/>
                <w:sz w:val="24"/>
                <w:szCs w:val="24"/>
                <w:lang w:val="en-US" w:eastAsia="en-US" w:bidi="ar-SA"/>
              </w:rPr>
              <w:t>accept instructions from controller and follow them</w:t>
            </w:r>
          </w:p>
        </w:tc>
      </w:tr>
      <w:tr>
        <w:trPr/>
        <w:tc>
          <w:tcPr>
            <w:tcW w:w="4662" w:type="dxa"/>
            <w:tcBorders/>
          </w:tcPr>
          <w:p>
            <w:pPr>
              <w:pStyle w:val="ListParagraph"/>
              <w:widowControl/>
              <w:numPr>
                <w:ilvl w:val="0"/>
                <w:numId w:val="1"/>
              </w:numPr>
              <w:spacing w:before="0" w:after="0"/>
              <w:contextualSpacing/>
              <w:jc w:val="left"/>
              <w:rPr>
                <w:lang w:val="en-GB"/>
              </w:rPr>
            </w:pPr>
            <w:r>
              <w:rPr>
                <w:rFonts w:eastAsia="Calibri" w:cs=""/>
                <w:kern w:val="0"/>
                <w:sz w:val="24"/>
                <w:szCs w:val="24"/>
                <w:lang w:val="en-GB" w:eastAsia="en-US" w:bidi="ar-SA"/>
              </w:rPr>
              <w:t>Question (</w:t>
            </w:r>
            <w:r>
              <w:rPr>
                <w:rFonts w:eastAsia="Calibri" w:cs=""/>
                <w:i/>
                <w:iCs/>
                <w:kern w:val="0"/>
                <w:sz w:val="24"/>
                <w:szCs w:val="24"/>
                <w:lang w:val="en-GB" w:eastAsia="en-US" w:bidi="ar-SA"/>
              </w:rPr>
              <w:t xml:space="preserve">Safeguards </w:t>
            </w:r>
            <w:r>
              <w:rPr>
                <w:rFonts w:eastAsia="Calibri" w:cs=""/>
                <w:kern w:val="0"/>
                <w:sz w:val="24"/>
                <w:szCs w:val="24"/>
                <w:lang w:val="en-GB" w:eastAsia="en-US" w:bidi="ar-SA"/>
              </w:rPr>
              <w:t>)(10  points)</w:t>
              <w:br/>
              <w:br/>
              <w:t>Identify and explain the safeguards provided in GDPR Articles for the transfer of personal data to third countries that are currently considered valid and effective for use. Provide a detailed explanation of their validity and usability for each safeguard and specify which safeguards require approval from the European Data Protection Board (EDPB), European Data Protection Authority (EDPA), or Supervisory Authorities (SAs) at different levels.</w:t>
              <w:br/>
            </w:r>
          </w:p>
        </w:tc>
        <w:tc>
          <w:tcPr>
            <w:tcW w:w="8646" w:type="dxa"/>
            <w:tcBorders/>
          </w:tcPr>
          <w:tbl>
            <w:tblPr>
              <w:tblStyle w:val="TableGrid"/>
              <w:tblW w:w="842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05"/>
              <w:gridCol w:w="2105"/>
              <w:gridCol w:w="2105"/>
              <w:gridCol w:w="2105"/>
            </w:tblGrid>
            <w:tr>
              <w:trPr/>
              <w:tc>
                <w:tcPr>
                  <w:tcW w:w="2105" w:type="dxa"/>
                  <w:tcBorders/>
                </w:tcPr>
                <w:p>
                  <w:pPr>
                    <w:pStyle w:val="Normal"/>
                    <w:widowControl/>
                    <w:spacing w:before="0" w:after="0"/>
                    <w:jc w:val="left"/>
                    <w:rPr>
                      <w:lang w:val="en-GB"/>
                    </w:rPr>
                  </w:pPr>
                  <w:r>
                    <w:rPr>
                      <w:rFonts w:eastAsia="Calibri" w:cs=""/>
                      <w:kern w:val="0"/>
                      <w:sz w:val="24"/>
                      <w:szCs w:val="24"/>
                      <w:lang w:val="en-GB" w:eastAsia="en-US" w:bidi="ar-SA"/>
                    </w:rPr>
                    <w:t>Safeguard</w:t>
                  </w:r>
                </w:p>
              </w:tc>
              <w:tc>
                <w:tcPr>
                  <w:tcW w:w="2105" w:type="dxa"/>
                  <w:tcBorders/>
                </w:tcPr>
                <w:p>
                  <w:pPr>
                    <w:pStyle w:val="Normal"/>
                    <w:widowControl/>
                    <w:spacing w:before="0" w:after="0"/>
                    <w:jc w:val="left"/>
                    <w:rPr>
                      <w:lang w:val="en-GB"/>
                    </w:rPr>
                  </w:pPr>
                  <w:r>
                    <w:rPr>
                      <w:rFonts w:eastAsia="Calibri" w:cs=""/>
                      <w:kern w:val="0"/>
                      <w:sz w:val="24"/>
                      <w:szCs w:val="24"/>
                      <w:lang w:val="en-GB" w:eastAsia="en-US" w:bidi="ar-SA"/>
                    </w:rPr>
                    <w:t>Description</w:t>
                  </w:r>
                </w:p>
              </w:tc>
              <w:tc>
                <w:tcPr>
                  <w:tcW w:w="2105" w:type="dxa"/>
                  <w:tcBorders/>
                </w:tcPr>
                <w:p>
                  <w:pPr>
                    <w:pStyle w:val="Normal"/>
                    <w:widowControl/>
                    <w:spacing w:before="0" w:after="0"/>
                    <w:jc w:val="left"/>
                    <w:rPr>
                      <w:lang w:val="en-GB"/>
                    </w:rPr>
                  </w:pPr>
                  <w:r>
                    <w:rPr>
                      <w:rFonts w:eastAsia="Calibri" w:cs=""/>
                      <w:kern w:val="0"/>
                      <w:sz w:val="24"/>
                      <w:szCs w:val="24"/>
                      <w:lang w:val="en-GB" w:eastAsia="en-US" w:bidi="ar-SA"/>
                    </w:rPr>
                    <w:t>Should be approved by SA?</w:t>
                  </w:r>
                </w:p>
              </w:tc>
              <w:tc>
                <w:tcPr>
                  <w:tcW w:w="2105" w:type="dxa"/>
                  <w:tcBorders/>
                </w:tcPr>
                <w:p>
                  <w:pPr>
                    <w:pStyle w:val="Normal"/>
                    <w:widowControl/>
                    <w:spacing w:before="0" w:after="0"/>
                    <w:jc w:val="left"/>
                    <w:rPr>
                      <w:lang w:val="en-GB"/>
                    </w:rPr>
                  </w:pPr>
                  <w:r>
                    <w:rPr>
                      <w:rFonts w:eastAsia="Calibri" w:cs=""/>
                      <w:kern w:val="0"/>
                      <w:sz w:val="24"/>
                      <w:szCs w:val="24"/>
                      <w:lang w:val="en-GB" w:eastAsia="en-US" w:bidi="ar-SA"/>
                    </w:rPr>
                    <w:t>Should be approved by EDPB?</w:t>
                  </w:r>
                </w:p>
              </w:tc>
            </w:tr>
            <w:tr>
              <w:trPr/>
              <w:tc>
                <w:tcPr>
                  <w:tcW w:w="2105" w:type="dxa"/>
                  <w:tcBorders/>
                </w:tcPr>
                <w:p>
                  <w:pPr>
                    <w:pStyle w:val="Normal"/>
                    <w:widowControl/>
                    <w:spacing w:before="0" w:after="0"/>
                    <w:jc w:val="left"/>
                    <w:rPr>
                      <w:color w:val="000000" w:themeColor="text1"/>
                      <w:lang w:val="en-GB"/>
                    </w:rPr>
                  </w:pPr>
                  <w:r>
                    <w:rPr>
                      <w:rFonts w:eastAsia="Calibri" w:cs=""/>
                      <w:color w:val="000000" w:themeColor="text1"/>
                      <w:kern w:val="0"/>
                      <w:sz w:val="24"/>
                      <w:szCs w:val="24"/>
                      <w:lang w:val="en-GB" w:eastAsia="en-US" w:bidi="ar-SA"/>
                    </w:rPr>
                    <w:t>Adequacy Decision</w:t>
                  </w:r>
                </w:p>
              </w:tc>
              <w:tc>
                <w:tcPr>
                  <w:tcW w:w="2105" w:type="dxa"/>
                  <w:tcBorders/>
                </w:tcPr>
                <w:p>
                  <w:pPr>
                    <w:pStyle w:val="Normal"/>
                    <w:widowControl/>
                    <w:spacing w:before="0" w:after="0"/>
                    <w:jc w:val="left"/>
                    <w:rPr>
                      <w:color w:val="000000" w:themeColor="text1"/>
                      <w:lang w:val="en-GB"/>
                    </w:rPr>
                  </w:pPr>
                  <w:r>
                    <w:rPr>
                      <w:rFonts w:eastAsia="Calibri" w:cs=""/>
                      <w:color w:val="000000" w:themeColor="text1"/>
                      <w:kern w:val="0"/>
                      <w:sz w:val="24"/>
                      <w:szCs w:val="24"/>
                      <w:lang w:val="en-US" w:eastAsia="en-US" w:bidi="ar-SA"/>
                    </w:rPr>
                    <w:t>The</w:t>
                  </w:r>
                  <w:r>
                    <w:rPr>
                      <w:rFonts w:eastAsia="Calibri" w:cs=""/>
                      <w:color w:val="000000" w:themeColor="text1"/>
                      <w:kern w:val="0"/>
                      <w:sz w:val="24"/>
                      <w:szCs w:val="24"/>
                      <w:lang w:val="en-GB" w:eastAsia="en-US" w:bidi="ar-SA"/>
                    </w:rPr>
                    <w:t xml:space="preserve"> European Commission </w:t>
                  </w:r>
                  <w:r>
                    <w:rPr>
                      <w:rFonts w:eastAsia="Calibri" w:cs=""/>
                      <w:color w:val="000000" w:themeColor="text1"/>
                      <w:kern w:val="0"/>
                      <w:sz w:val="24"/>
                      <w:szCs w:val="24"/>
                      <w:lang w:val="en-US" w:eastAsia="en-US" w:bidi="ar-SA"/>
                    </w:rPr>
                    <w:t>made decision</w:t>
                  </w:r>
                </w:p>
              </w:tc>
              <w:tc>
                <w:tcPr>
                  <w:tcW w:w="2105" w:type="dxa"/>
                  <w:tcBorders/>
                </w:tcPr>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No</w:t>
                  </w:r>
                </w:p>
              </w:tc>
              <w:tc>
                <w:tcPr>
                  <w:tcW w:w="2105" w:type="dxa"/>
                  <w:tcBorders/>
                </w:tcPr>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No</w:t>
                  </w:r>
                </w:p>
              </w:tc>
            </w:tr>
            <w:tr>
              <w:trPr/>
              <w:tc>
                <w:tcPr>
                  <w:tcW w:w="2105" w:type="dxa"/>
                  <w:tcBorders/>
                </w:tcPr>
                <w:p>
                  <w:pPr>
                    <w:pStyle w:val="Normal"/>
                    <w:widowControl/>
                    <w:spacing w:before="0" w:after="0"/>
                    <w:jc w:val="left"/>
                    <w:rPr>
                      <w:color w:val="000000" w:themeColor="text1"/>
                      <w:lang w:val="en-GB"/>
                    </w:rPr>
                  </w:pPr>
                  <w:r>
                    <w:rPr>
                      <w:rFonts w:eastAsia="Calibri" w:cs=""/>
                      <w:color w:val="000000" w:themeColor="text1"/>
                      <w:kern w:val="0"/>
                      <w:sz w:val="24"/>
                      <w:szCs w:val="24"/>
                      <w:lang w:val="en-GB" w:eastAsia="en-US" w:bidi="ar-SA"/>
                    </w:rPr>
                    <w:t>Derogations</w:t>
                  </w:r>
                </w:p>
              </w:tc>
              <w:tc>
                <w:tcPr>
                  <w:tcW w:w="2105" w:type="dxa"/>
                  <w:tcBorders/>
                </w:tcPr>
                <w:p>
                  <w:pPr>
                    <w:pStyle w:val="Normal"/>
                    <w:widowControl/>
                    <w:spacing w:before="0" w:after="0"/>
                    <w:jc w:val="left"/>
                    <w:rPr>
                      <w:lang w:val="en-GB"/>
                    </w:rPr>
                  </w:pPr>
                  <w:r>
                    <w:rPr>
                      <w:rFonts w:eastAsia="Calibri" w:cs=""/>
                      <w:kern w:val="0"/>
                      <w:sz w:val="24"/>
                      <w:szCs w:val="24"/>
                      <w:lang w:val="en-LV" w:eastAsia="en-US" w:bidi="ar-SA"/>
                    </w:rPr>
                    <w:t xml:space="preserve">Derogations are exceptions that allow the transfer of personal data to a third country without relying on adequacy decisions, SCCs, or BCRs. </w:t>
                    <w:br/>
                    <w:t>Derogations do not require specific approval from the EDPB, EDPA, or SAs.</w:t>
                  </w:r>
                </w:p>
              </w:tc>
              <w:tc>
                <w:tcPr>
                  <w:tcW w:w="2105" w:type="dxa"/>
                  <w:tcBorders/>
                </w:tcPr>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No</w:t>
                  </w:r>
                </w:p>
              </w:tc>
              <w:tc>
                <w:tcPr>
                  <w:tcW w:w="2105" w:type="dxa"/>
                  <w:tcBorders/>
                </w:tcPr>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No</w:t>
                  </w:r>
                </w:p>
              </w:tc>
            </w:tr>
            <w:tr>
              <w:trPr/>
              <w:tc>
                <w:tcPr>
                  <w:tcW w:w="2105" w:type="dxa"/>
                  <w:tcBorders/>
                </w:tcPr>
                <w:p>
                  <w:pPr>
                    <w:pStyle w:val="Normal"/>
                    <w:widowControl/>
                    <w:spacing w:before="0" w:after="0"/>
                    <w:jc w:val="left"/>
                    <w:rPr>
                      <w:color w:val="000000" w:themeColor="text1"/>
                      <w:lang w:val="en-GB"/>
                    </w:rPr>
                  </w:pPr>
                  <w:r>
                    <w:rPr>
                      <w:rFonts w:eastAsia="Calibri" w:cs=""/>
                      <w:color w:val="000000" w:themeColor="text1"/>
                      <w:kern w:val="0"/>
                      <w:sz w:val="24"/>
                      <w:szCs w:val="24"/>
                      <w:lang w:val="en-GB" w:eastAsia="en-US" w:bidi="ar-SA"/>
                    </w:rPr>
                    <w:t>Standard Contractual Clauses (SCCs)</w:t>
                  </w:r>
                </w:p>
              </w:tc>
              <w:tc>
                <w:tcPr>
                  <w:tcW w:w="2105" w:type="dxa"/>
                  <w:tcBorders/>
                </w:tcPr>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 xml:space="preserve">Approved by </w:t>
                  </w:r>
                  <w:r>
                    <w:rPr>
                      <w:rFonts w:eastAsia="Calibri" w:cs=""/>
                      <w:color w:val="000000" w:themeColor="text1"/>
                      <w:kern w:val="0"/>
                      <w:sz w:val="24"/>
                      <w:szCs w:val="24"/>
                      <w:lang w:val="en-GB" w:eastAsia="en-US" w:bidi="ar-SA"/>
                    </w:rPr>
                    <w:t>European Commission</w:t>
                  </w:r>
                  <w:r>
                    <w:rPr>
                      <w:rFonts w:eastAsia="Calibri" w:cs=""/>
                      <w:kern w:val="0"/>
                      <w:sz w:val="24"/>
                      <w:szCs w:val="24"/>
                      <w:lang w:val="en-US" w:eastAsia="en-US" w:bidi="ar-SA"/>
                    </w:rPr>
                    <w:t xml:space="preserve"> </w:t>
                  </w:r>
                </w:p>
              </w:tc>
              <w:tc>
                <w:tcPr>
                  <w:tcW w:w="2105" w:type="dxa"/>
                  <w:tcBorders/>
                </w:tcPr>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No</w:t>
                  </w:r>
                </w:p>
              </w:tc>
              <w:tc>
                <w:tcPr>
                  <w:tcW w:w="2105" w:type="dxa"/>
                  <w:tcBorders/>
                </w:tcPr>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No</w:t>
                  </w:r>
                </w:p>
              </w:tc>
            </w:tr>
            <w:tr>
              <w:trPr/>
              <w:tc>
                <w:tcPr>
                  <w:tcW w:w="2105" w:type="dxa"/>
                  <w:tcBorders/>
                </w:tcPr>
                <w:p>
                  <w:pPr>
                    <w:pStyle w:val="Normal"/>
                    <w:widowControl/>
                    <w:spacing w:before="0" w:after="0"/>
                    <w:jc w:val="left"/>
                    <w:rPr>
                      <w:color w:val="000000" w:themeColor="text1"/>
                      <w:lang w:val="en-GB"/>
                    </w:rPr>
                  </w:pPr>
                  <w:r>
                    <w:rPr>
                      <w:rFonts w:eastAsia="Calibri" w:cs=""/>
                      <w:color w:val="000000" w:themeColor="text1"/>
                      <w:kern w:val="0"/>
                      <w:sz w:val="24"/>
                      <w:szCs w:val="24"/>
                      <w:lang w:val="en-GB" w:eastAsia="en-US" w:bidi="ar-SA"/>
                    </w:rPr>
                    <w:t>Binding Corporate Rules (BCRs)</w:t>
                  </w:r>
                </w:p>
              </w:tc>
              <w:tc>
                <w:tcPr>
                  <w:tcW w:w="2105" w:type="dxa"/>
                  <w:tcBorders/>
                </w:tcPr>
                <w:p>
                  <w:pPr>
                    <w:pStyle w:val="Normal"/>
                    <w:widowControl/>
                    <w:spacing w:before="0" w:after="0"/>
                    <w:jc w:val="left"/>
                    <w:rPr>
                      <w:color w:val="000000" w:themeColor="text1"/>
                      <w:lang w:val="en-GB"/>
                    </w:rPr>
                  </w:pPr>
                  <w:r>
                    <w:rPr>
                      <w:rFonts w:eastAsia="Calibri" w:cs=""/>
                      <w:color w:val="000000" w:themeColor="text1"/>
                      <w:kern w:val="0"/>
                      <w:sz w:val="24"/>
                      <w:szCs w:val="24"/>
                      <w:lang w:val="en-GB" w:eastAsia="en-US" w:bidi="ar-SA"/>
                    </w:rPr>
                    <w:t>The EDPB's role is to provide guidance and cooperation between SAs but does not individually approve BCRs.</w:t>
                  </w:r>
                </w:p>
              </w:tc>
              <w:tc>
                <w:tcPr>
                  <w:tcW w:w="2105" w:type="dxa"/>
                  <w:tcBorders/>
                </w:tcPr>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Yes</w:t>
                  </w:r>
                </w:p>
              </w:tc>
              <w:tc>
                <w:tcPr>
                  <w:tcW w:w="2105" w:type="dxa"/>
                  <w:tcBorders/>
                </w:tcPr>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No</w:t>
                  </w:r>
                </w:p>
              </w:tc>
            </w:tr>
          </w:tbl>
          <w:p>
            <w:pPr>
              <w:pStyle w:val="Normal"/>
              <w:widowControl w:val="false"/>
              <w:rPr>
                <w:lang w:val="en-GB"/>
              </w:rPr>
            </w:pPr>
            <w:r>
              <w:rPr>
                <w:lang w:val="en-GB"/>
              </w:rPr>
            </w:r>
          </w:p>
        </w:tc>
      </w:tr>
      <w:tr>
        <w:trPr/>
        <w:tc>
          <w:tcPr>
            <w:tcW w:w="4662" w:type="dxa"/>
            <w:tcBorders/>
          </w:tcPr>
          <w:p>
            <w:pPr>
              <w:pStyle w:val="ListParagraph"/>
              <w:widowControl/>
              <w:numPr>
                <w:ilvl w:val="0"/>
                <w:numId w:val="1"/>
              </w:numPr>
              <w:spacing w:before="0" w:after="0"/>
              <w:contextualSpacing/>
              <w:jc w:val="left"/>
              <w:rPr>
                <w:lang w:val="en-GB"/>
              </w:rPr>
            </w:pPr>
            <w:r>
              <w:rPr>
                <w:rFonts w:eastAsia="Calibri" w:cs=""/>
                <w:kern w:val="0"/>
                <w:sz w:val="24"/>
                <w:szCs w:val="24"/>
                <w:lang w:val="en-GB" w:eastAsia="en-US" w:bidi="ar-SA"/>
              </w:rPr>
              <w:t>Question (</w:t>
            </w:r>
            <w:r>
              <w:rPr>
                <w:rFonts w:eastAsia="Calibri" w:cs=""/>
                <w:i/>
                <w:iCs/>
                <w:kern w:val="0"/>
                <w:sz w:val="24"/>
                <w:szCs w:val="24"/>
                <w:lang w:val="en-GB" w:eastAsia="en-US" w:bidi="ar-SA"/>
              </w:rPr>
              <w:t>Processors and Controllers</w:t>
            </w:r>
            <w:r>
              <w:rPr>
                <w:rFonts w:eastAsia="Calibri" w:cs=""/>
                <w:kern w:val="0"/>
                <w:sz w:val="24"/>
                <w:szCs w:val="24"/>
                <w:lang w:val="en-GB" w:eastAsia="en-US" w:bidi="ar-SA"/>
              </w:rPr>
              <w:t>) 10 points</w:t>
              <w:br/>
              <w:br/>
              <w:t>Describe the fundamental distinctions between data processors and data controllers in general. Additionally, explain the potential differences between these roles in the event of a data breach on the processor's side, outlining the liabilities, responsibilities, and obligations of each party involved. Identify who would be liable, for what, and to whom in such a scenario.</w:t>
            </w:r>
          </w:p>
        </w:tc>
        <w:tc>
          <w:tcPr>
            <w:tcW w:w="8646" w:type="dxa"/>
            <w:tcBorders/>
          </w:tcPr>
          <w:p>
            <w:pPr>
              <w:pStyle w:val="Normal"/>
              <w:widowControl/>
              <w:spacing w:before="0" w:after="0"/>
              <w:jc w:val="left"/>
              <w:rPr>
                <w:rFonts w:ascii="Calibri" w:hAnsi="Calibri"/>
                <w:b/>
                <w:b/>
                <w:bCs/>
                <w:kern w:val="0"/>
                <w:sz w:val="24"/>
                <w:szCs w:val="24"/>
                <w:lang w:val="en-US" w:eastAsia="en-US" w:bidi="ar-SA"/>
              </w:rPr>
            </w:pPr>
            <w:r>
              <w:rPr>
                <w:rFonts w:eastAsia="Times New Roman" w:cs="Calibri" w:cstheme="minorHAnsi"/>
                <w:b/>
                <w:bCs/>
                <w:color w:val="000000" w:themeColor="text1"/>
                <w:kern w:val="0"/>
                <w:sz w:val="24"/>
                <w:szCs w:val="24"/>
                <w:lang w:val="en-US" w:eastAsia="en-US" w:bidi="ar-SA"/>
              </w:rPr>
              <w:t>Data Controller:</w:t>
            </w:r>
          </w:p>
          <w:p>
            <w:pPr>
              <w:pStyle w:val="Normal"/>
              <w:widowControl/>
              <w:spacing w:before="0" w:after="0"/>
              <w:jc w:val="left"/>
              <w:rPr>
                <w:rFonts w:ascii="Calibri" w:hAnsi="Calibri"/>
                <w:b w:val="false"/>
                <w:b w:val="false"/>
                <w:bCs w:val="false"/>
                <w:kern w:val="0"/>
                <w:sz w:val="24"/>
                <w:szCs w:val="24"/>
                <w:lang w:val="en-US" w:eastAsia="en-US" w:bidi="ar-SA"/>
              </w:rPr>
            </w:pPr>
            <w:r>
              <w:rPr>
                <w:rFonts w:eastAsia="Times New Roman" w:cs="Calibri" w:cstheme="minorHAnsi"/>
                <w:b w:val="false"/>
                <w:bCs w:val="false"/>
                <w:color w:val="000000" w:themeColor="text1"/>
                <w:kern w:val="0"/>
                <w:sz w:val="24"/>
                <w:szCs w:val="24"/>
                <w:lang w:val="en-US" w:eastAsia="en-US" w:bidi="ar-SA"/>
              </w:rPr>
              <w:t>1) Responsible for overall compliance with data protection laws;</w:t>
            </w:r>
          </w:p>
          <w:p>
            <w:pPr>
              <w:pStyle w:val="Normal"/>
              <w:widowControl/>
              <w:spacing w:before="0" w:after="0"/>
              <w:jc w:val="left"/>
              <w:rPr>
                <w:rFonts w:ascii="Calibri" w:hAnsi="Calibri"/>
                <w:b w:val="false"/>
                <w:b w:val="false"/>
                <w:bCs w:val="false"/>
                <w:kern w:val="0"/>
                <w:sz w:val="24"/>
                <w:szCs w:val="24"/>
                <w:lang w:val="en-US" w:eastAsia="en-US" w:bidi="ar-SA"/>
              </w:rPr>
            </w:pPr>
            <w:r>
              <w:rPr>
                <w:rFonts w:eastAsia="Times New Roman" w:cs="Calibri" w:cstheme="minorHAnsi"/>
                <w:b w:val="false"/>
                <w:bCs w:val="false"/>
                <w:color w:val="000000" w:themeColor="text1"/>
                <w:kern w:val="0"/>
                <w:sz w:val="24"/>
                <w:szCs w:val="24"/>
                <w:lang w:val="en-US" w:eastAsia="en-US" w:bidi="ar-SA"/>
              </w:rPr>
              <w:t>2) Reporting in case caught some violations;</w:t>
            </w:r>
          </w:p>
          <w:p>
            <w:pPr>
              <w:pStyle w:val="Normal"/>
              <w:widowControl/>
              <w:spacing w:before="0" w:after="0"/>
              <w:jc w:val="left"/>
              <w:rPr>
                <w:rFonts w:ascii="Calibri" w:hAnsi="Calibri"/>
                <w:b w:val="false"/>
                <w:b w:val="false"/>
                <w:bCs w:val="false"/>
                <w:kern w:val="0"/>
                <w:sz w:val="24"/>
                <w:szCs w:val="24"/>
                <w:lang w:val="en-US" w:eastAsia="en-US" w:bidi="ar-SA"/>
              </w:rPr>
            </w:pPr>
            <w:r>
              <w:rPr>
                <w:rFonts w:eastAsia="Times New Roman" w:cs="Calibri" w:cstheme="minorHAnsi"/>
                <w:b w:val="false"/>
                <w:bCs w:val="false"/>
                <w:color w:val="000000" w:themeColor="text1"/>
                <w:kern w:val="0"/>
                <w:sz w:val="24"/>
                <w:szCs w:val="24"/>
                <w:lang w:val="en-US" w:eastAsia="en-US" w:bidi="ar-SA"/>
              </w:rPr>
              <w:t>3) Informing affected individuals about corrupted and illegal access to their data;</w:t>
            </w:r>
          </w:p>
          <w:p>
            <w:pPr>
              <w:pStyle w:val="Normal"/>
              <w:widowControl/>
              <w:spacing w:before="0" w:after="0"/>
              <w:jc w:val="left"/>
              <w:rPr>
                <w:rFonts w:ascii="Calibri" w:hAnsi="Calibri"/>
                <w:b w:val="false"/>
                <w:b w:val="false"/>
                <w:bCs w:val="false"/>
                <w:kern w:val="0"/>
                <w:sz w:val="24"/>
                <w:szCs w:val="24"/>
                <w:lang w:val="en-US" w:eastAsia="en-US" w:bidi="ar-SA"/>
              </w:rPr>
            </w:pPr>
            <w:r>
              <w:rPr>
                <w:rFonts w:eastAsia="Times New Roman" w:cs="Calibri" w:cstheme="minorHAnsi"/>
                <w:b w:val="false"/>
                <w:bCs w:val="false"/>
                <w:color w:val="000000" w:themeColor="text1"/>
                <w:kern w:val="0"/>
                <w:sz w:val="24"/>
                <w:szCs w:val="24"/>
                <w:lang w:val="en-US" w:eastAsia="en-US" w:bidi="ar-SA"/>
              </w:rPr>
              <w:t>4) Responsible of save and protect personal data.</w:t>
              <w:br/>
            </w:r>
            <w:r>
              <w:rPr>
                <w:rFonts w:eastAsia="Times New Roman" w:cs="Calibri" w:cstheme="minorHAnsi"/>
                <w:b/>
                <w:bCs/>
                <w:color w:val="000000" w:themeColor="text1"/>
                <w:kern w:val="0"/>
                <w:sz w:val="24"/>
                <w:szCs w:val="24"/>
                <w:lang w:val="en-US" w:eastAsia="en-US" w:bidi="ar-SA"/>
              </w:rPr>
              <w:t>Data Processor:</w:t>
              <w:br/>
            </w:r>
            <w:r>
              <w:rPr>
                <w:rFonts w:eastAsia="Times New Roman" w:cs="Calibri" w:cstheme="minorHAnsi"/>
                <w:b w:val="false"/>
                <w:bCs w:val="false"/>
                <w:color w:val="000000" w:themeColor="text1"/>
                <w:kern w:val="0"/>
                <w:sz w:val="24"/>
                <w:szCs w:val="24"/>
                <w:lang w:val="en-US" w:eastAsia="en-US" w:bidi="ar-SA"/>
              </w:rPr>
              <w:t>1) Helps controller to inform  affected individuals about corrupted and illegal access to their data;</w:t>
            </w:r>
          </w:p>
          <w:p>
            <w:pPr>
              <w:pStyle w:val="Normal"/>
              <w:widowControl/>
              <w:spacing w:before="0" w:after="0"/>
              <w:jc w:val="left"/>
              <w:rPr>
                <w:rFonts w:ascii="Calibri" w:hAnsi="Calibri"/>
                <w:b w:val="false"/>
                <w:b w:val="false"/>
                <w:bCs w:val="false"/>
                <w:kern w:val="0"/>
                <w:sz w:val="24"/>
                <w:szCs w:val="24"/>
                <w:lang w:val="en-US" w:eastAsia="en-US" w:bidi="ar-SA"/>
              </w:rPr>
            </w:pPr>
            <w:r>
              <w:rPr>
                <w:rFonts w:eastAsia="Times New Roman" w:cs="Calibri" w:cstheme="minorHAnsi"/>
                <w:b w:val="false"/>
                <w:bCs w:val="false"/>
                <w:color w:val="000000" w:themeColor="text1"/>
                <w:kern w:val="0"/>
                <w:sz w:val="24"/>
                <w:szCs w:val="24"/>
                <w:lang w:val="en-US" w:eastAsia="en-US" w:bidi="ar-SA"/>
              </w:rPr>
              <w:t>2) Implementing appropriate security measures to protect personal data;</w:t>
            </w:r>
          </w:p>
          <w:p>
            <w:pPr>
              <w:pStyle w:val="Normal"/>
              <w:widowControl/>
              <w:spacing w:before="0" w:after="0"/>
              <w:jc w:val="left"/>
              <w:rPr>
                <w:rFonts w:ascii="Calibri" w:hAnsi="Calibri"/>
                <w:b w:val="false"/>
                <w:b w:val="false"/>
                <w:bCs w:val="false"/>
                <w:kern w:val="0"/>
                <w:sz w:val="24"/>
                <w:szCs w:val="24"/>
                <w:lang w:val="en-US" w:eastAsia="en-US" w:bidi="ar-SA"/>
              </w:rPr>
            </w:pPr>
            <w:r>
              <w:rPr>
                <w:rFonts w:eastAsia="Times New Roman" w:cs="Calibri" w:cstheme="minorHAnsi"/>
                <w:b w:val="false"/>
                <w:bCs w:val="false"/>
                <w:color w:val="000000" w:themeColor="text1"/>
                <w:kern w:val="0"/>
                <w:sz w:val="24"/>
                <w:szCs w:val="24"/>
                <w:lang w:val="en-US" w:eastAsia="en-US" w:bidi="ar-SA"/>
              </w:rPr>
              <w:t>3) Responsible for data protection in general</w:t>
            </w:r>
          </w:p>
        </w:tc>
      </w:tr>
      <w:tr>
        <w:trPr/>
        <w:tc>
          <w:tcPr>
            <w:tcW w:w="4662" w:type="dxa"/>
            <w:tcBorders/>
          </w:tcPr>
          <w:p>
            <w:pPr>
              <w:pStyle w:val="ListParagraph"/>
              <w:widowControl/>
              <w:numPr>
                <w:ilvl w:val="0"/>
                <w:numId w:val="1"/>
              </w:numPr>
              <w:spacing w:before="0" w:after="0"/>
              <w:contextualSpacing/>
              <w:jc w:val="left"/>
              <w:rPr>
                <w:lang w:val="en-GB"/>
              </w:rPr>
            </w:pPr>
            <w:r>
              <w:rPr>
                <w:rFonts w:eastAsia="Calibri" w:cs=""/>
                <w:kern w:val="0"/>
                <w:sz w:val="24"/>
                <w:szCs w:val="24"/>
                <w:lang w:val="en-GB" w:eastAsia="en-US" w:bidi="ar-SA"/>
              </w:rPr>
              <w:t xml:space="preserve">Question (EU </w:t>
            </w:r>
            <w:r>
              <w:rPr>
                <w:rFonts w:eastAsia="Calibri" w:cs=""/>
                <w:i/>
                <w:iCs/>
                <w:kern w:val="0"/>
                <w:sz w:val="24"/>
                <w:szCs w:val="24"/>
                <w:lang w:val="en-GB" w:eastAsia="en-US" w:bidi="ar-SA"/>
              </w:rPr>
              <w:t>Digital Health initatives and patients rights</w:t>
            </w:r>
            <w:r>
              <w:rPr>
                <w:rFonts w:eastAsia="Calibri" w:cs=""/>
                <w:kern w:val="0"/>
                <w:sz w:val="24"/>
                <w:szCs w:val="24"/>
                <w:lang w:val="en-GB" w:eastAsia="en-US" w:bidi="ar-SA"/>
              </w:rPr>
              <w:t>) 20 points</w:t>
              <w:br/>
              <w:br/>
              <w:t>Discuss the intersection of the EU Digital Health Initiative (specifically cross border initiatives which allow to use prescriptions, get lab results, etc across EU country borders) and the General Data Protection Regulation (GDPR), highlighting their implications for the protection of personal health data. Analyze the key principles and requirements of GDPR that are relevant to digital health initiatives. Examine the challenges and considerations associated with ensuring compliance with GDPR when implementing digital health solutions. Provide examples of specific measures and practices that organizations should adopt to adhere to GDPR while leveraging the benefits of the EU Digital Health Initiative referring to respective GDPR articles.</w:t>
            </w:r>
          </w:p>
        </w:tc>
        <w:tc>
          <w:tcPr>
            <w:tcW w:w="8646" w:type="dxa"/>
            <w:tcBorders/>
          </w:tcPr>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GDPR principles:</w:t>
              <w:br/>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 xml:space="preserve">1) </w:t>
            </w:r>
            <w:r>
              <w:rPr>
                <w:rFonts w:eastAsia="Times New Roman" w:cs="Calibri" w:cstheme="minorHAnsi"/>
                <w:b/>
                <w:bCs/>
                <w:color w:val="000000" w:themeColor="text1"/>
                <w:kern w:val="0"/>
                <w:sz w:val="24"/>
                <w:szCs w:val="24"/>
                <w:lang w:val="en-US" w:eastAsia="en-US" w:bidi="ar-SA"/>
              </w:rPr>
              <w:t>Lawful Basis/following legal</w:t>
            </w:r>
            <w:r>
              <w:rPr>
                <w:rFonts w:eastAsia="Times New Roman" w:cs="Calibri" w:cstheme="minorHAnsi"/>
                <w:color w:val="000000" w:themeColor="text1"/>
                <w:kern w:val="0"/>
                <w:sz w:val="24"/>
                <w:szCs w:val="24"/>
                <w:lang w:val="en-US" w:eastAsia="en-US" w:bidi="ar-SA"/>
              </w:rPr>
              <w:t xml:space="preserve"> – data health information can be processed only when it is needed and required following local and EU laws;</w:t>
            </w:r>
          </w:p>
          <w:p>
            <w:pPr>
              <w:pStyle w:val="Normal"/>
              <w:widowControl/>
              <w:spacing w:before="0" w:after="0"/>
              <w:jc w:val="left"/>
              <w:rPr>
                <w:rFonts w:ascii="Calibri" w:hAnsi="Calibri" w:eastAsia="Calibri" w:cs=""/>
                <w:kern w:val="0"/>
                <w:sz w:val="24"/>
                <w:szCs w:val="24"/>
                <w:lang w:val="en-US" w:eastAsia="en-US" w:bidi="ar-SA"/>
              </w:rPr>
            </w:pPr>
            <w:r>
              <w:rPr>
                <w:rFonts w:eastAsia="Times New Roman" w:cs="Calibri" w:cstheme="minorHAnsi"/>
                <w:color w:val="000000" w:themeColor="text1"/>
                <w:kern w:val="0"/>
                <w:sz w:val="24"/>
                <w:szCs w:val="24"/>
                <w:lang w:val="en-US" w:eastAsia="en-US" w:bidi="ar-SA"/>
              </w:rPr>
              <w:t xml:space="preserve">2) </w:t>
            </w:r>
            <w:r>
              <w:rPr>
                <w:rFonts w:eastAsia="Times New Roman" w:cs="Calibri" w:cstheme="minorHAnsi"/>
                <w:b/>
                <w:bCs/>
                <w:color w:val="000000" w:themeColor="text1"/>
                <w:kern w:val="0"/>
                <w:sz w:val="24"/>
                <w:szCs w:val="24"/>
                <w:lang w:val="en-US" w:eastAsia="en-US" w:bidi="ar-SA"/>
              </w:rPr>
              <w:t>Limited purpose</w:t>
            </w:r>
            <w:r>
              <w:rPr>
                <w:rFonts w:eastAsia="Times New Roman" w:cs="Calibri" w:cstheme="minorHAnsi"/>
                <w:color w:val="000000" w:themeColor="text1"/>
                <w:kern w:val="0"/>
                <w:sz w:val="24"/>
                <w:szCs w:val="24"/>
                <w:lang w:val="en-US" w:eastAsia="en-US" w:bidi="ar-SA"/>
              </w:rPr>
              <w:t xml:space="preserve">  - data health information can be processed only for medical reasones;</w:t>
            </w:r>
          </w:p>
          <w:p>
            <w:pPr>
              <w:pStyle w:val="Normal"/>
              <w:widowControl/>
              <w:spacing w:before="0" w:after="0"/>
              <w:jc w:val="left"/>
              <w:rPr>
                <w:rFonts w:ascii="Calibri" w:hAnsi="Calibri" w:eastAsia="Calibri" w:cs=""/>
                <w:kern w:val="0"/>
                <w:sz w:val="24"/>
                <w:szCs w:val="24"/>
                <w:lang w:val="en-US" w:eastAsia="en-US" w:bidi="ar-SA"/>
              </w:rPr>
            </w:pPr>
            <w:r>
              <w:rPr>
                <w:rFonts w:eastAsia="Times New Roman" w:cs="Calibri" w:cstheme="minorHAnsi"/>
                <w:color w:val="000000" w:themeColor="text1"/>
                <w:kern w:val="0"/>
                <w:sz w:val="24"/>
                <w:szCs w:val="24"/>
                <w:lang w:val="en-US" w:eastAsia="en-US" w:bidi="ar-SA"/>
              </w:rPr>
              <w:t xml:space="preserve">3)  </w:t>
            </w:r>
            <w:r>
              <w:rPr>
                <w:rFonts w:eastAsia="Times New Roman" w:cs="Calibri" w:cstheme="minorHAnsi"/>
                <w:b/>
                <w:bCs/>
                <w:color w:val="000000" w:themeColor="text1"/>
                <w:kern w:val="0"/>
                <w:sz w:val="24"/>
                <w:szCs w:val="24"/>
                <w:lang w:val="en-US" w:eastAsia="en-US" w:bidi="ar-SA"/>
              </w:rPr>
              <w:t>Minimum required data –</w:t>
            </w:r>
            <w:r>
              <w:rPr>
                <w:rFonts w:eastAsia="Times New Roman" w:cs="Calibri" w:cstheme="minorHAnsi"/>
                <w:b w:val="false"/>
                <w:bCs w:val="false"/>
                <w:color w:val="000000" w:themeColor="text1"/>
                <w:kern w:val="0"/>
                <w:sz w:val="24"/>
                <w:szCs w:val="24"/>
                <w:lang w:val="en-US" w:eastAsia="en-US" w:bidi="ar-SA"/>
              </w:rPr>
              <w:t xml:space="preserve"> medical organizations should only collect and process the necessary health data, avoiding excessive data collection.</w:t>
            </w:r>
          </w:p>
          <w:p>
            <w:pPr>
              <w:pStyle w:val="Normal"/>
              <w:widowControl/>
              <w:spacing w:before="0" w:after="0"/>
              <w:jc w:val="left"/>
              <w:rPr>
                <w:rFonts w:ascii="Calibri" w:hAnsi="Calibri" w:eastAsia="Calibri" w:cs=""/>
                <w:kern w:val="0"/>
                <w:sz w:val="24"/>
                <w:szCs w:val="24"/>
                <w:lang w:val="en-US" w:eastAsia="en-US" w:bidi="ar-SA"/>
              </w:rPr>
            </w:pPr>
            <w:r>
              <w:rPr>
                <w:rFonts w:eastAsia="Times New Roman" w:cs="Calibri" w:cstheme="minorHAnsi"/>
                <w:b w:val="false"/>
                <w:bCs w:val="false"/>
                <w:color w:val="000000" w:themeColor="text1"/>
                <w:kern w:val="0"/>
                <w:sz w:val="24"/>
                <w:szCs w:val="24"/>
                <w:lang w:val="en-US" w:eastAsia="en-US" w:bidi="ar-SA"/>
              </w:rPr>
              <w:t xml:space="preserve">4) </w:t>
            </w:r>
            <w:r>
              <w:rPr>
                <w:rFonts w:eastAsia="Times New Roman" w:cs="Calibri" w:cstheme="minorHAnsi"/>
                <w:b/>
                <w:bCs/>
                <w:color w:val="000000" w:themeColor="text1"/>
                <w:kern w:val="0"/>
                <w:sz w:val="24"/>
                <w:szCs w:val="24"/>
                <w:lang w:val="en-US" w:eastAsia="en-US" w:bidi="ar-SA"/>
              </w:rPr>
              <w:t xml:space="preserve">Security and Confidentiality – </w:t>
            </w:r>
            <w:r>
              <w:rPr>
                <w:rFonts w:eastAsia="Times New Roman" w:cs="Calibri" w:cstheme="minorHAnsi"/>
                <w:b w:val="false"/>
                <w:bCs w:val="false"/>
                <w:color w:val="000000" w:themeColor="text1"/>
                <w:kern w:val="0"/>
                <w:sz w:val="24"/>
                <w:szCs w:val="24"/>
                <w:lang w:val="en-US" w:eastAsia="en-US" w:bidi="ar-SA"/>
              </w:rPr>
              <w:t>health data must be protect against illegal access and against public sharing;</w:t>
            </w:r>
          </w:p>
          <w:p>
            <w:pPr>
              <w:pStyle w:val="Normal"/>
              <w:widowControl/>
              <w:spacing w:before="0" w:after="0"/>
              <w:jc w:val="left"/>
              <w:rPr>
                <w:rFonts w:ascii="Calibri" w:hAnsi="Calibri" w:eastAsia="Calibri" w:cs=""/>
                <w:kern w:val="0"/>
                <w:sz w:val="24"/>
                <w:szCs w:val="24"/>
                <w:lang w:val="en-US" w:eastAsia="en-US" w:bidi="ar-SA"/>
              </w:rPr>
            </w:pPr>
            <w:r>
              <w:rPr>
                <w:rFonts w:eastAsia="Times New Roman" w:cs="Calibri" w:cstheme="minorHAnsi"/>
                <w:b w:val="false"/>
                <w:bCs w:val="false"/>
                <w:color w:val="000000" w:themeColor="text1"/>
                <w:kern w:val="0"/>
                <w:sz w:val="24"/>
                <w:szCs w:val="24"/>
                <w:lang w:val="en-US" w:eastAsia="en-US" w:bidi="ar-SA"/>
              </w:rPr>
              <w:t xml:space="preserve">5) </w:t>
            </w:r>
            <w:r>
              <w:rPr>
                <w:rFonts w:eastAsia="Times New Roman" w:cs="Calibri" w:cstheme="minorHAnsi"/>
                <w:b/>
                <w:bCs/>
                <w:color w:val="000000" w:themeColor="text1"/>
                <w:kern w:val="0"/>
                <w:sz w:val="24"/>
                <w:szCs w:val="24"/>
                <w:lang w:val="en-US" w:eastAsia="en-US" w:bidi="ar-SA"/>
              </w:rPr>
              <w:t xml:space="preserve">Data Subject Rights – </w:t>
            </w:r>
            <w:r>
              <w:rPr>
                <w:rFonts w:eastAsia="Times New Roman" w:cs="Calibri" w:cstheme="minorHAnsi"/>
                <w:b w:val="false"/>
                <w:bCs w:val="false"/>
                <w:color w:val="000000" w:themeColor="text1"/>
                <w:kern w:val="0"/>
                <w:sz w:val="24"/>
                <w:szCs w:val="24"/>
                <w:lang w:val="en-US" w:eastAsia="en-US" w:bidi="ar-SA"/>
              </w:rPr>
              <w:t>Individuals have access to their personal data and also have ability to delete some information from prescriptions and medical cards;</w:t>
            </w:r>
          </w:p>
          <w:p>
            <w:pPr>
              <w:pStyle w:val="Normal"/>
              <w:widowControl/>
              <w:spacing w:before="0" w:after="0"/>
              <w:jc w:val="left"/>
              <w:rPr>
                <w:rFonts w:ascii="Calibri" w:hAnsi="Calibri" w:eastAsia="Calibri" w:cs=""/>
                <w:kern w:val="0"/>
                <w:sz w:val="24"/>
                <w:szCs w:val="24"/>
                <w:lang w:val="en-US" w:eastAsia="en-US" w:bidi="ar-SA"/>
              </w:rPr>
            </w:pPr>
            <w:r>
              <w:rPr>
                <w:rFonts w:eastAsia="Times New Roman" w:cs="Calibri" w:cstheme="minorHAnsi"/>
                <w:b w:val="false"/>
                <w:bCs w:val="false"/>
                <w:color w:val="000000" w:themeColor="text1"/>
                <w:kern w:val="0"/>
                <w:sz w:val="24"/>
                <w:szCs w:val="24"/>
                <w:lang w:val="en-US" w:eastAsia="en-US" w:bidi="ar-SA"/>
              </w:rPr>
              <w:t xml:space="preserve">6) </w:t>
            </w:r>
            <w:r>
              <w:rPr>
                <w:rFonts w:eastAsia="Times New Roman" w:cs="Calibri" w:cstheme="minorHAnsi"/>
                <w:b/>
                <w:bCs/>
                <w:color w:val="000000" w:themeColor="text1"/>
                <w:kern w:val="0"/>
                <w:sz w:val="24"/>
                <w:szCs w:val="24"/>
                <w:lang w:val="en-US" w:eastAsia="en-US" w:bidi="ar-SA"/>
              </w:rPr>
              <w:t xml:space="preserve">Data Transfers – </w:t>
            </w:r>
            <w:r>
              <w:rPr>
                <w:rFonts w:eastAsia="Times New Roman" w:cs="Calibri" w:cstheme="minorHAnsi"/>
                <w:b w:val="false"/>
                <w:bCs w:val="false"/>
                <w:color w:val="000000" w:themeColor="text1"/>
                <w:kern w:val="0"/>
                <w:sz w:val="24"/>
                <w:szCs w:val="24"/>
                <w:lang w:val="en-US" w:eastAsia="en-US" w:bidi="ar-SA"/>
              </w:rPr>
              <w:t>the policy is allowed that with follow security and confidentiality principles</w:t>
            </w:r>
          </w:p>
        </w:tc>
      </w:tr>
    </w:tbl>
    <w:p>
      <w:pPr>
        <w:pStyle w:val="Normal"/>
        <w:rPr>
          <w:lang w:val="lv-LV"/>
        </w:rPr>
      </w:pPr>
      <w:r>
        <w:rPr>
          <w:lang w:val="lv-LV"/>
        </w:rPr>
      </w:r>
    </w:p>
    <w:p>
      <w:pPr>
        <w:pStyle w:val="Normal"/>
        <w:rPr>
          <w:lang w:val="en-GB"/>
        </w:rPr>
      </w:pPr>
      <w:r>
        <w:rPr>
          <w:lang w:val="en-GB"/>
        </w:rPr>
      </w:r>
      <w:r>
        <w:br w:type="page"/>
      </w:r>
    </w:p>
    <w:p>
      <w:pPr>
        <w:pStyle w:val="Normal"/>
        <w:rPr>
          <w:b/>
          <w:b/>
          <w:bCs/>
          <w:lang w:val="en-GB"/>
        </w:rPr>
      </w:pPr>
      <w:r>
        <w:rPr>
          <w:b/>
          <w:bCs/>
          <w:lang w:val="en-GB"/>
        </w:rPr>
        <w:t xml:space="preserve">Questions below use the CASE STUDY (can be found in the end of this document). </w:t>
      </w:r>
    </w:p>
    <w:p>
      <w:pPr>
        <w:pStyle w:val="Normal"/>
        <w:rPr>
          <w:lang w:val="en-GB"/>
        </w:rPr>
      </w:pPr>
      <w:r>
        <w:rPr>
          <w:lang w:val="en-GB"/>
        </w:rPr>
        <w:t xml:space="preserve">Please READ THE CASE STUDY BEFORE starting to answer the following questions which are in line with the Question 4 dilemma (don’t assume the </w:t>
      </w:r>
      <w:r>
        <w:rPr>
          <w:lang w:val="en-US"/>
        </w:rPr>
        <w:t xml:space="preserve">HealthFirst </w:t>
      </w:r>
      <w:r>
        <w:rPr>
          <w:lang w:val="en-GB"/>
        </w:rPr>
        <w:t>type of scenario are the “preferred answer” for question 4.</w:t>
      </w:r>
    </w:p>
    <w:tbl>
      <w:tblPr>
        <w:tblStyle w:val="TableGrid"/>
        <w:tblW w:w="13309"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4378"/>
        <w:gridCol w:w="8930"/>
      </w:tblGrid>
      <w:tr>
        <w:trPr/>
        <w:tc>
          <w:tcPr>
            <w:tcW w:w="4378" w:type="dxa"/>
            <w:tcBorders/>
          </w:tcPr>
          <w:p>
            <w:pPr>
              <w:pStyle w:val="ListParagraph"/>
              <w:widowControl/>
              <w:numPr>
                <w:ilvl w:val="0"/>
                <w:numId w:val="1"/>
              </w:numPr>
              <w:spacing w:before="0" w:after="0"/>
              <w:contextualSpacing/>
              <w:jc w:val="left"/>
              <w:rPr>
                <w:lang w:val="en-GB"/>
              </w:rPr>
            </w:pPr>
            <w:r>
              <w:rPr>
                <w:rFonts w:eastAsia="Calibri" w:cs=""/>
                <w:kern w:val="0"/>
                <w:sz w:val="24"/>
                <w:szCs w:val="24"/>
                <w:lang w:val="en-GB" w:eastAsia="en-US" w:bidi="ar-SA"/>
              </w:rPr>
              <w:t>Question (15 points)</w:t>
              <w:br/>
              <w:br/>
              <w:t xml:space="preserve">Is there a need for patient additional consent in following scenario. Patient has agreed to give doctor access to his/her medical data stored in HealthFirst EHR, however doctor can see there is also some health data (heart rate, activity log) on the patients mobile device. HealthFirst mobile application can access this data (during install patient has said “yes” to allowing app to access this data. </w:t>
              <w:br/>
              <w:t>Should patient give additional consent for this data or is the consent given before sufficient? Please state your assumptions and explain your logic referring also to the GDPR articles.</w:t>
            </w:r>
          </w:p>
          <w:p>
            <w:pPr>
              <w:pStyle w:val="ListParagraph"/>
              <w:widowControl/>
              <w:spacing w:before="0" w:after="0"/>
              <w:contextualSpacing/>
              <w:jc w:val="left"/>
              <w:rPr>
                <w:lang w:val="en-GB"/>
              </w:rPr>
            </w:pPr>
            <w:r>
              <w:rPr>
                <w:rFonts w:eastAsia="Calibri" w:cs=""/>
                <w:kern w:val="0"/>
                <w:sz w:val="24"/>
                <w:szCs w:val="24"/>
                <w:lang w:val="en-LV" w:eastAsia="en-US" w:bidi="ar-SA"/>
              </w:rPr>
            </w:r>
          </w:p>
        </w:tc>
        <w:tc>
          <w:tcPr>
            <w:tcW w:w="8930" w:type="dxa"/>
            <w:tcBorders/>
          </w:tcPr>
          <w:p>
            <w:pPr>
              <w:pStyle w:val="Normal"/>
              <w:widowControl/>
              <w:spacing w:before="0" w:after="0"/>
              <w:jc w:val="left"/>
              <w:rPr>
                <w:rFonts w:ascii="Calibri" w:hAnsi="Calibri" w:eastAsia="Calibri" w:cs=""/>
                <w:kern w:val="0"/>
                <w:sz w:val="24"/>
                <w:szCs w:val="24"/>
                <w:lang w:val="en-US" w:eastAsia="en-US" w:bidi="ar-SA"/>
              </w:rPr>
            </w:pPr>
            <w:r>
              <w:rPr>
                <w:rFonts w:eastAsia="Calibri" w:cs=""/>
                <w:b/>
                <w:bCs/>
                <w:kern w:val="0"/>
                <w:sz w:val="24"/>
                <w:szCs w:val="24"/>
                <w:lang w:val="en-US" w:eastAsia="en-US" w:bidi="ar-SA"/>
              </w:rPr>
              <w:t>GDPR articles:</w:t>
            </w:r>
            <w:r>
              <w:rPr>
                <w:rFonts w:eastAsia="Calibri" w:cs=""/>
                <w:kern w:val="0"/>
                <w:sz w:val="24"/>
                <w:szCs w:val="24"/>
                <w:lang w:val="en-US" w:eastAsia="en-US" w:bidi="ar-SA"/>
              </w:rPr>
              <w:t xml:space="preserve"> </w:t>
            </w:r>
          </w:p>
          <w:p>
            <w:pPr>
              <w:pStyle w:val="Normal"/>
              <w:widowControl/>
              <w:spacing w:before="0" w:after="0"/>
              <w:jc w:val="left"/>
              <w:rPr>
                <w:color w:val="000000" w:themeColor="text1"/>
                <w:lang w:val="en-GB"/>
              </w:rPr>
            </w:pPr>
            <w:r>
              <w:rPr>
                <w:rFonts w:eastAsia="Calibri" w:cs=""/>
                <w:color w:val="000000" w:themeColor="text1"/>
                <w:kern w:val="0"/>
                <w:sz w:val="24"/>
                <w:szCs w:val="24"/>
                <w:lang w:val="en-US" w:eastAsia="en-US" w:bidi="ar-SA"/>
              </w:rPr>
              <w:t xml:space="preserve">1) </w:t>
            </w:r>
            <w:r>
              <w:rPr>
                <w:rFonts w:eastAsia="Calibri" w:cs=""/>
                <w:color w:val="000000" w:themeColor="text1"/>
                <w:kern w:val="0"/>
                <w:sz w:val="24"/>
                <w:szCs w:val="24"/>
                <w:lang w:val="en-GB" w:eastAsia="en-US" w:bidi="ar-SA"/>
              </w:rPr>
              <w:t>Article 6(1)(a) - Lawfulness of Processing</w:t>
            </w:r>
          </w:p>
          <w:p>
            <w:pPr>
              <w:pStyle w:val="Normal"/>
              <w:widowControl/>
              <w:spacing w:before="0" w:after="0"/>
              <w:jc w:val="left"/>
              <w:rPr>
                <w:color w:val="000000" w:themeColor="text1"/>
                <w:lang w:val="en-GB"/>
              </w:rPr>
            </w:pPr>
            <w:r>
              <w:rPr>
                <w:rFonts w:eastAsia="Calibri" w:cs=""/>
                <w:color w:val="000000" w:themeColor="text1"/>
                <w:kern w:val="0"/>
                <w:sz w:val="24"/>
                <w:szCs w:val="24"/>
                <w:lang w:val="en-US" w:eastAsia="en-US" w:bidi="ar-SA"/>
              </w:rPr>
              <w:t xml:space="preserve">2) </w:t>
            </w:r>
            <w:r>
              <w:rPr>
                <w:rFonts w:eastAsia="Calibri" w:cs=""/>
                <w:color w:val="000000" w:themeColor="text1"/>
                <w:kern w:val="0"/>
                <w:sz w:val="24"/>
                <w:szCs w:val="24"/>
                <w:lang w:val="en-GB" w:eastAsia="en-US" w:bidi="ar-SA"/>
              </w:rPr>
              <w:t>Article 7 - Conditions for Consent</w:t>
              <w:br/>
            </w:r>
            <w:r>
              <w:rPr>
                <w:rFonts w:eastAsia="Calibri" w:cs=""/>
                <w:color w:val="000000" w:themeColor="text1"/>
                <w:kern w:val="0"/>
                <w:sz w:val="24"/>
                <w:szCs w:val="24"/>
                <w:lang w:val="en-US" w:eastAsia="en-US" w:bidi="ar-SA"/>
              </w:rPr>
              <w:t xml:space="preserve">Additional juridical consents are not necessary. </w:t>
              <w:br/>
              <w:t>A patient can give consent using verbal way.</w:t>
            </w:r>
          </w:p>
        </w:tc>
      </w:tr>
      <w:tr>
        <w:trPr/>
        <w:tc>
          <w:tcPr>
            <w:tcW w:w="4378" w:type="dxa"/>
            <w:tcBorders/>
          </w:tcPr>
          <w:p>
            <w:pPr>
              <w:pStyle w:val="ListParagraph"/>
              <w:widowControl/>
              <w:numPr>
                <w:ilvl w:val="0"/>
                <w:numId w:val="1"/>
              </w:numPr>
              <w:spacing w:before="0" w:after="0"/>
              <w:contextualSpacing/>
              <w:jc w:val="left"/>
              <w:rPr>
                <w:lang w:val="en-GB"/>
              </w:rPr>
            </w:pPr>
            <w:r>
              <w:rPr>
                <w:rFonts w:eastAsia="Calibri" w:cs=""/>
                <w:kern w:val="0"/>
                <w:sz w:val="24"/>
                <w:szCs w:val="24"/>
                <w:lang w:val="en-GB" w:eastAsia="en-US" w:bidi="ar-SA"/>
              </w:rPr>
              <w:t>Question (15 points)</w:t>
              <w:br/>
              <w:br/>
              <w:t>Rephrased exam question:</w:t>
            </w:r>
          </w:p>
          <w:p>
            <w:pPr>
              <w:pStyle w:val="ListParagraph"/>
              <w:widowControl/>
              <w:spacing w:before="0" w:after="0"/>
              <w:contextualSpacing/>
              <w:jc w:val="left"/>
              <w:rPr>
                <w:lang w:val="en-GB"/>
              </w:rPr>
            </w:pPr>
            <w:r>
              <w:rPr>
                <w:rFonts w:eastAsia="Calibri" w:cs=""/>
                <w:kern w:val="0"/>
                <w:sz w:val="24"/>
                <w:szCs w:val="24"/>
                <w:lang w:val="en-GB" w:eastAsia="en-US" w:bidi="ar-SA"/>
              </w:rPr>
              <w:t>HealthFirst has received a request from a widow seeking access to her deceased husband's medical data stored in the HealthFirst Electronic Health Record (EHR) system. The widow wishes to verify if her husband's heart condition, which caused his death, was accurately diagnosed. As a representative of HealthFirst, describe how you would respond to this request. What information would you provide to the widow and how would you guide her on the next steps to proceed?</w:t>
              <w:br/>
            </w:r>
          </w:p>
        </w:tc>
        <w:tc>
          <w:tcPr>
            <w:tcW w:w="8930" w:type="dxa"/>
            <w:tcBorders/>
          </w:tcPr>
          <w:p>
            <w:pPr>
              <w:pStyle w:val="Normal"/>
              <w:widowControl/>
              <w:spacing w:before="0" w:after="0"/>
              <w:jc w:val="left"/>
              <w:rPr>
                <w:color w:val="000000" w:themeColor="text1"/>
                <w:lang w:val="en-GB"/>
              </w:rPr>
            </w:pPr>
            <w:r>
              <w:rPr>
                <w:rFonts w:eastAsia="Calibri" w:cs=""/>
                <w:color w:val="000000" w:themeColor="text1"/>
                <w:kern w:val="0"/>
                <w:sz w:val="24"/>
                <w:szCs w:val="24"/>
                <w:lang w:val="en-GB" w:eastAsia="en-US" w:bidi="ar-SA"/>
              </w:rPr>
              <w:t>Personal data of deceased individuals can be subject to the General Data Protection Regulation (GDPR) in certain situations.</w:t>
              <w:br/>
            </w:r>
            <w:r>
              <w:rPr>
                <w:rFonts w:eastAsia="Calibri" w:cs=""/>
                <w:color w:val="000000" w:themeColor="text1"/>
                <w:kern w:val="0"/>
                <w:sz w:val="24"/>
                <w:szCs w:val="24"/>
                <w:lang w:val="en-US" w:eastAsia="en-US" w:bidi="ar-SA"/>
              </w:rPr>
              <w:t>On this case, an medical organization can provide information about her husband before a widow provide the certificate about death and marriage certificate.</w:t>
            </w:r>
          </w:p>
        </w:tc>
      </w:tr>
      <w:tr>
        <w:trPr/>
        <w:tc>
          <w:tcPr>
            <w:tcW w:w="4378" w:type="dxa"/>
            <w:tcBorders/>
          </w:tcPr>
          <w:p>
            <w:pPr>
              <w:pStyle w:val="ListParagraph"/>
              <w:widowControl/>
              <w:numPr>
                <w:ilvl w:val="0"/>
                <w:numId w:val="1"/>
              </w:numPr>
              <w:spacing w:before="0" w:after="0"/>
              <w:contextualSpacing/>
              <w:jc w:val="left"/>
              <w:rPr>
                <w:lang w:val="en-GB"/>
              </w:rPr>
            </w:pPr>
            <w:r>
              <w:rPr>
                <w:rFonts w:eastAsia="Calibri" w:cs=""/>
                <w:kern w:val="0"/>
                <w:sz w:val="24"/>
                <w:szCs w:val="24"/>
                <w:lang w:val="en-GB" w:eastAsia="en-US" w:bidi="ar-SA"/>
              </w:rPr>
              <w:t>Question (15 points)</w:t>
              <w:br/>
              <w:br/>
              <w:t>Security and Confidentiality:</w:t>
            </w:r>
          </w:p>
          <w:p>
            <w:pPr>
              <w:pStyle w:val="Normal"/>
              <w:widowControl/>
              <w:spacing w:before="0" w:after="0"/>
              <w:ind w:left="360" w:hanging="0"/>
              <w:jc w:val="left"/>
              <w:rPr>
                <w:lang w:val="en-GB"/>
              </w:rPr>
            </w:pPr>
            <w:r>
              <w:rPr>
                <w:rFonts w:eastAsia="Calibri" w:cs=""/>
                <w:kern w:val="0"/>
                <w:sz w:val="24"/>
                <w:szCs w:val="24"/>
                <w:lang w:val="en-GB" w:eastAsia="en-US" w:bidi="ar-SA"/>
              </w:rPr>
              <w:t>a. Assess the security measures and safeguards HealthFirst should implement to protect special category personal data from unauthorized access, loss, or disclosure.</w:t>
            </w:r>
          </w:p>
          <w:p>
            <w:pPr>
              <w:pStyle w:val="Normal"/>
              <w:widowControl/>
              <w:spacing w:before="0" w:after="0"/>
              <w:ind w:left="360" w:hanging="0"/>
              <w:jc w:val="left"/>
              <w:rPr>
                <w:lang w:val="en-GB"/>
              </w:rPr>
            </w:pPr>
            <w:r>
              <w:rPr>
                <w:rFonts w:eastAsia="Calibri" w:cs=""/>
                <w:kern w:val="0"/>
                <w:sz w:val="24"/>
                <w:szCs w:val="24"/>
                <w:lang w:val="en-GB" w:eastAsia="en-US" w:bidi="ar-SA"/>
              </w:rPr>
              <w:t>b. Discuss the challenges and considerations HealthFirst should address to ensure the confidentiality and integrity of special category personal data, considering the sensitivity and potential risks involved.</w:t>
              <w:br/>
              <w:br/>
            </w:r>
          </w:p>
        </w:tc>
        <w:tc>
          <w:tcPr>
            <w:tcW w:w="8930" w:type="dxa"/>
            <w:tcBorders/>
          </w:tcPr>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Actions:</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1) personal trainings – work with medical staff about security, confidential and patients data protection;</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2) min data – store and use only minimum patient’s data;</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3) r</w:t>
            </w:r>
            <w:r>
              <w:rPr>
                <w:rFonts w:eastAsia="Times New Roman" w:cs="Calibri" w:cstheme="minorHAnsi"/>
                <w:color w:val="000000" w:themeColor="text1"/>
                <w:kern w:val="0"/>
                <w:sz w:val="24"/>
                <w:szCs w:val="24"/>
                <w:lang w:val="en-US" w:eastAsia="en-US" w:bidi="ar-SA"/>
              </w:rPr>
              <w:t>egular security assessments – in a part of personal trainings. Security checks should be run  frequantly.</w:t>
            </w:r>
          </w:p>
        </w:tc>
      </w:tr>
      <w:tr>
        <w:trPr/>
        <w:tc>
          <w:tcPr>
            <w:tcW w:w="4378" w:type="dxa"/>
            <w:tcBorders/>
          </w:tcPr>
          <w:p>
            <w:pPr>
              <w:pStyle w:val="ListParagraph"/>
              <w:widowControl/>
              <w:numPr>
                <w:ilvl w:val="0"/>
                <w:numId w:val="1"/>
              </w:numPr>
              <w:spacing w:before="0" w:after="0"/>
              <w:contextualSpacing/>
              <w:jc w:val="left"/>
              <w:rPr>
                <w:lang w:val="en-GB"/>
              </w:rPr>
            </w:pPr>
            <w:r>
              <w:rPr>
                <w:rFonts w:eastAsia="Calibri" w:cs=""/>
                <w:kern w:val="0"/>
                <w:sz w:val="24"/>
                <w:szCs w:val="24"/>
                <w:lang w:val="en-GB" w:eastAsia="en-US" w:bidi="ar-SA"/>
              </w:rPr>
              <w:t>Question (15 points)</w:t>
            </w:r>
          </w:p>
          <w:p>
            <w:pPr>
              <w:pStyle w:val="ListParagraph"/>
              <w:widowControl/>
              <w:spacing w:before="0" w:after="0"/>
              <w:contextualSpacing/>
              <w:jc w:val="left"/>
              <w:rPr>
                <w:lang w:val="en-GB"/>
              </w:rPr>
            </w:pPr>
            <w:r>
              <w:rPr>
                <w:rFonts w:eastAsia="Calibri" w:cs=""/>
                <w:kern w:val="0"/>
                <w:sz w:val="24"/>
                <w:szCs w:val="24"/>
                <w:lang w:val="en-GB" w:eastAsia="en-US" w:bidi="ar-SA"/>
              </w:rPr>
              <w:t>(pretend to be an SA employee with relevant task)</w:t>
            </w:r>
          </w:p>
          <w:p>
            <w:pPr>
              <w:pStyle w:val="ListParagraph"/>
              <w:widowControl/>
              <w:spacing w:before="0" w:after="0"/>
              <w:contextualSpacing/>
              <w:jc w:val="left"/>
              <w:rPr>
                <w:lang w:val="en-GB"/>
              </w:rPr>
            </w:pPr>
            <w:r>
              <w:rPr>
                <w:rFonts w:eastAsia="Calibri" w:cs=""/>
                <w:kern w:val="0"/>
                <w:sz w:val="24"/>
                <w:szCs w:val="24"/>
                <w:lang w:val="en-LV" w:eastAsia="en-US" w:bidi="ar-SA"/>
              </w:rPr>
            </w:r>
          </w:p>
          <w:p>
            <w:pPr>
              <w:pStyle w:val="ListParagraph"/>
              <w:widowControl/>
              <w:spacing w:before="0" w:after="0"/>
              <w:contextualSpacing/>
              <w:jc w:val="left"/>
              <w:rPr>
                <w:lang w:val="en-GB"/>
              </w:rPr>
            </w:pPr>
            <w:r>
              <w:rPr>
                <w:rFonts w:eastAsia="Calibri" w:cs=""/>
                <w:kern w:val="0"/>
                <w:sz w:val="24"/>
                <w:szCs w:val="24"/>
                <w:lang w:val="en-GB" w:eastAsia="en-US" w:bidi="ar-SA"/>
              </w:rPr>
              <w:t xml:space="preserve">HealthFirst has received a complaint from one of its Electronic Health Record (EHR) users regarding the handling of their personal data. The user alleges that HealthFirst has not adequately protected their privacy and that unauthorized access to their medical records has occurred. As a SA employee dealing with this complaint about HealthFirst, outline the steps you would take to address this complaint and investigate the alleged privacy breach. Provide a comprehensive plan that includes identifying the legal and ethical considerations, conducting an internal investigation, communicating with the affected user, and implementing measures to prevent future incidents. </w:t>
            </w:r>
          </w:p>
          <w:p>
            <w:pPr>
              <w:pStyle w:val="ListParagraph"/>
              <w:widowControl/>
              <w:spacing w:before="0" w:after="0"/>
              <w:contextualSpacing/>
              <w:jc w:val="left"/>
              <w:rPr>
                <w:lang w:val="en-GB"/>
              </w:rPr>
            </w:pPr>
            <w:r>
              <w:rPr>
                <w:rFonts w:eastAsia="Calibri" w:cs=""/>
                <w:kern w:val="0"/>
                <w:sz w:val="24"/>
                <w:szCs w:val="24"/>
                <w:lang w:val="en-LV" w:eastAsia="en-US" w:bidi="ar-SA"/>
              </w:rPr>
            </w:r>
          </w:p>
          <w:p>
            <w:pPr>
              <w:pStyle w:val="ListParagraph"/>
              <w:widowControl/>
              <w:spacing w:before="0" w:after="0"/>
              <w:contextualSpacing/>
              <w:jc w:val="left"/>
              <w:rPr>
                <w:lang w:val="en-GB"/>
              </w:rPr>
            </w:pPr>
            <w:r>
              <w:rPr>
                <w:rFonts w:eastAsia="Calibri" w:cs=""/>
                <w:kern w:val="0"/>
                <w:sz w:val="24"/>
                <w:szCs w:val="24"/>
                <w:lang w:val="en-LV" w:eastAsia="en-US" w:bidi="ar-SA"/>
              </w:rPr>
            </w:r>
          </w:p>
        </w:tc>
        <w:tc>
          <w:tcPr>
            <w:tcW w:w="8930" w:type="dxa"/>
            <w:tcBorders/>
          </w:tcPr>
          <w:p>
            <w:pPr>
              <w:pStyle w:val="Normal"/>
              <w:widowControl/>
              <w:spacing w:before="0" w:after="0"/>
              <w:jc w:val="left"/>
              <w:rPr>
                <w:color w:val="000000" w:themeColor="text1"/>
                <w:lang w:val="en-GB"/>
              </w:rPr>
            </w:pPr>
            <w:r>
              <w:rPr>
                <w:rFonts w:eastAsia="Calibri" w:cs=""/>
                <w:color w:val="000000" w:themeColor="text1"/>
                <w:kern w:val="0"/>
                <w:sz w:val="24"/>
                <w:szCs w:val="24"/>
                <w:lang w:val="en-GB" w:eastAsia="en-US" w:bidi="ar-SA"/>
              </w:rPr>
              <w:t>As SA employee, I would follow these steps:</w:t>
            </w:r>
          </w:p>
          <w:p>
            <w:pPr>
              <w:pStyle w:val="ListParagraph"/>
              <w:widowControl/>
              <w:numPr>
                <w:ilvl w:val="0"/>
                <w:numId w:val="8"/>
              </w:numPr>
              <w:spacing w:before="0" w:after="0"/>
              <w:contextualSpacing/>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Accept evidences from patient and documented complaining from it</w:t>
            </w:r>
          </w:p>
          <w:p>
            <w:pPr>
              <w:pStyle w:val="ListParagraph"/>
              <w:widowControl/>
              <w:numPr>
                <w:ilvl w:val="0"/>
                <w:numId w:val="8"/>
              </w:numPr>
              <w:spacing w:before="0" w:after="0"/>
              <w:contextualSpacing/>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Checked internal documentations related with personal data protection</w:t>
            </w:r>
          </w:p>
          <w:p>
            <w:pPr>
              <w:pStyle w:val="ListParagraph"/>
              <w:widowControl/>
              <w:numPr>
                <w:ilvl w:val="0"/>
                <w:numId w:val="8"/>
              </w:numPr>
              <w:spacing w:before="0" w:after="0"/>
              <w:contextualSpacing/>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Run internal investigation with all medical team</w:t>
            </w:r>
          </w:p>
          <w:p>
            <w:pPr>
              <w:pStyle w:val="ListParagraph"/>
              <w:widowControl/>
              <w:numPr>
                <w:ilvl w:val="0"/>
                <w:numId w:val="8"/>
              </w:numPr>
              <w:spacing w:before="0" w:after="0"/>
              <w:contextualSpacing/>
              <w:jc w:val="left"/>
              <w:rPr>
                <w:color w:val="000000" w:themeColor="text1"/>
                <w:lang w:val="en-GB"/>
              </w:rPr>
            </w:pPr>
            <w:r>
              <w:rPr>
                <w:rFonts w:eastAsia="Calibri" w:cs=""/>
                <w:color w:val="000000" w:themeColor="text1"/>
                <w:kern w:val="0"/>
                <w:sz w:val="24"/>
                <w:szCs w:val="24"/>
                <w:lang w:val="en-GB" w:eastAsia="en-US" w:bidi="ar-SA"/>
              </w:rPr>
              <w:t>After evidence is collected, I would assess the compliance HealthFirst with GDPR.</w:t>
            </w:r>
          </w:p>
          <w:p>
            <w:pPr>
              <w:pStyle w:val="ListParagraph"/>
              <w:widowControl/>
              <w:numPr>
                <w:ilvl w:val="0"/>
                <w:numId w:val="8"/>
              </w:numPr>
              <w:spacing w:before="0" w:after="0"/>
              <w:contextualSpacing/>
              <w:jc w:val="left"/>
              <w:rPr>
                <w:color w:val="000000" w:themeColor="text1"/>
                <w:lang w:val="en-GB"/>
              </w:rPr>
            </w:pPr>
            <w:r>
              <w:rPr>
                <w:rFonts w:eastAsia="Calibri" w:cs=""/>
                <w:color w:val="000000" w:themeColor="text1"/>
                <w:kern w:val="0"/>
                <w:sz w:val="24"/>
                <w:szCs w:val="24"/>
                <w:lang w:val="en-GB" w:eastAsia="en-US" w:bidi="ar-SA"/>
              </w:rPr>
              <w:t xml:space="preserve">After investigation is </w:t>
            </w:r>
            <w:r>
              <w:rPr>
                <w:rFonts w:eastAsia="Calibri" w:cs=""/>
                <w:color w:val="000000" w:themeColor="text1"/>
                <w:kern w:val="0"/>
                <w:sz w:val="24"/>
                <w:szCs w:val="24"/>
                <w:lang w:val="en-US" w:eastAsia="en-US" w:bidi="ar-SA"/>
              </w:rPr>
              <w:t>finished, informed the patient about result.</w:t>
            </w:r>
          </w:p>
          <w:p>
            <w:pPr>
              <w:pStyle w:val="ListParagraph"/>
              <w:widowControl/>
              <w:numPr>
                <w:ilvl w:val="0"/>
                <w:numId w:val="8"/>
              </w:numPr>
              <w:spacing w:before="0" w:after="0"/>
              <w:contextualSpacing/>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Report to responsible board</w:t>
            </w:r>
          </w:p>
          <w:p>
            <w:pPr>
              <w:pStyle w:val="ListParagraph"/>
              <w:widowControl/>
              <w:numPr>
                <w:ilvl w:val="0"/>
                <w:numId w:val="8"/>
              </w:numPr>
              <w:spacing w:before="0" w:after="0"/>
              <w:contextualSpacing/>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After, I will protect my organization to avoided repeated issues.</w:t>
            </w:r>
          </w:p>
        </w:tc>
      </w:tr>
      <w:tr>
        <w:trPr/>
        <w:tc>
          <w:tcPr>
            <w:tcW w:w="4378" w:type="dxa"/>
            <w:tcBorders/>
          </w:tcPr>
          <w:p>
            <w:pPr>
              <w:pStyle w:val="ListParagraph"/>
              <w:widowControl/>
              <w:numPr>
                <w:ilvl w:val="0"/>
                <w:numId w:val="1"/>
              </w:numPr>
              <w:spacing w:before="0" w:after="0"/>
              <w:contextualSpacing/>
              <w:jc w:val="left"/>
              <w:rPr>
                <w:lang w:val="en-GB"/>
              </w:rPr>
            </w:pPr>
            <w:r>
              <w:rPr>
                <w:rFonts w:eastAsia="Calibri" w:cs=""/>
                <w:kern w:val="0"/>
                <w:sz w:val="24"/>
                <w:szCs w:val="24"/>
                <w:lang w:val="en-GB" w:eastAsia="en-US" w:bidi="ar-SA"/>
              </w:rPr>
              <w:t>Question (</w:t>
            </w:r>
            <w:r>
              <w:rPr>
                <w:rFonts w:eastAsia="Calibri" w:cs=""/>
                <w:kern w:val="0"/>
                <w:sz w:val="24"/>
                <w:szCs w:val="24"/>
                <w:lang w:val="ru-RU" w:eastAsia="en-US" w:bidi="ar-SA"/>
              </w:rPr>
              <w:t>2</w:t>
            </w:r>
            <w:r>
              <w:rPr>
                <w:rFonts w:eastAsia="Calibri" w:cs=""/>
                <w:kern w:val="0"/>
                <w:sz w:val="24"/>
                <w:szCs w:val="24"/>
                <w:lang w:val="en-GB" w:eastAsia="en-US" w:bidi="ar-SA"/>
              </w:rPr>
              <w:t>5 points)</w:t>
              <w:br/>
              <w:br/>
            </w:r>
          </w:p>
          <w:p>
            <w:pPr>
              <w:pStyle w:val="Normal"/>
              <w:widowControl/>
              <w:spacing w:before="0" w:after="0"/>
              <w:jc w:val="left"/>
              <w:rPr>
                <w:lang w:val="en-GB"/>
              </w:rPr>
            </w:pPr>
            <w:r>
              <w:rPr>
                <w:rFonts w:eastAsia="Calibri" w:cs=""/>
                <w:kern w:val="0"/>
                <w:sz w:val="24"/>
                <w:szCs w:val="24"/>
                <w:lang w:val="en-GB" w:eastAsia="en-US" w:bidi="ar-SA"/>
              </w:rPr>
              <w:t>In light of international data transfers, discuss the significance and applicability of Standard Contractual Clauses (SCCs) and Binding Corporate Rules (BCRs) for HealthFirst's EHR.</w:t>
            </w:r>
          </w:p>
          <w:p>
            <w:pPr>
              <w:pStyle w:val="Normal"/>
              <w:widowControl/>
              <w:spacing w:before="0" w:after="0"/>
              <w:jc w:val="left"/>
              <w:rPr>
                <w:lang w:val="en-GB"/>
              </w:rPr>
            </w:pPr>
            <w:r>
              <w:rPr>
                <w:rFonts w:eastAsia="Calibri" w:cs=""/>
                <w:kern w:val="0"/>
                <w:sz w:val="24"/>
                <w:szCs w:val="24"/>
                <w:lang w:val="en-LV" w:eastAsia="en-US" w:bidi="ar-SA"/>
              </w:rPr>
            </w:r>
          </w:p>
          <w:p>
            <w:pPr>
              <w:pStyle w:val="Normal"/>
              <w:widowControl/>
              <w:spacing w:before="0" w:after="0"/>
              <w:jc w:val="left"/>
              <w:rPr>
                <w:lang w:val="en-GB"/>
              </w:rPr>
            </w:pPr>
            <w:r>
              <w:rPr>
                <w:rFonts w:eastAsia="Calibri" w:cs=""/>
                <w:kern w:val="0"/>
                <w:sz w:val="24"/>
                <w:szCs w:val="24"/>
                <w:lang w:val="en-US" w:eastAsia="en-US" w:bidi="ar-SA"/>
              </w:rPr>
              <w:t>1.</w:t>
            </w:r>
            <w:r>
              <w:rPr>
                <w:rFonts w:eastAsia="Calibri" w:cs=""/>
                <w:kern w:val="0"/>
                <w:sz w:val="24"/>
                <w:szCs w:val="24"/>
                <w:lang w:val="en-GB" w:eastAsia="en-US" w:bidi="ar-SA"/>
              </w:rPr>
              <w:t xml:space="preserve"> SCCs:</w:t>
            </w:r>
          </w:p>
          <w:p>
            <w:pPr>
              <w:pStyle w:val="Normal"/>
              <w:widowControl/>
              <w:spacing w:before="0" w:after="0"/>
              <w:jc w:val="left"/>
              <w:rPr>
                <w:lang w:val="en-GB"/>
              </w:rPr>
            </w:pPr>
            <w:r>
              <w:rPr>
                <w:rFonts w:eastAsia="Calibri" w:cs=""/>
                <w:kern w:val="0"/>
                <w:sz w:val="24"/>
                <w:szCs w:val="24"/>
                <w:lang w:val="en-GB" w:eastAsia="en-US" w:bidi="ar-SA"/>
              </w:rPr>
              <w:t>a. Explain the purpose of SCCs and their role in facilitating international data transfers while ensuring adequate data protection.</w:t>
            </w:r>
          </w:p>
          <w:p>
            <w:pPr>
              <w:pStyle w:val="Normal"/>
              <w:widowControl/>
              <w:spacing w:before="0" w:after="0"/>
              <w:jc w:val="left"/>
              <w:rPr>
                <w:lang w:val="en-GB"/>
              </w:rPr>
            </w:pPr>
            <w:r>
              <w:rPr>
                <w:rFonts w:eastAsia="Calibri" w:cs=""/>
                <w:kern w:val="0"/>
                <w:sz w:val="24"/>
                <w:szCs w:val="24"/>
                <w:lang w:val="en-GB" w:eastAsia="en-US" w:bidi="ar-SA"/>
              </w:rPr>
              <w:t>b. Discuss the conditions under which HealthFirst would utilize SCCs to legitimize transfers of personal data from the European Union (EU) to third countries for EHR purposes.</w:t>
            </w:r>
          </w:p>
          <w:p>
            <w:pPr>
              <w:pStyle w:val="Normal"/>
              <w:widowControl/>
              <w:spacing w:before="0" w:after="0"/>
              <w:jc w:val="left"/>
              <w:rPr>
                <w:lang w:val="en-GB"/>
              </w:rPr>
            </w:pPr>
            <w:r>
              <w:rPr>
                <w:rFonts w:eastAsia="Calibri" w:cs=""/>
                <w:kern w:val="0"/>
                <w:sz w:val="24"/>
                <w:szCs w:val="24"/>
                <w:lang w:val="en-GB" w:eastAsia="en-US" w:bidi="ar-SA"/>
              </w:rPr>
              <w:t>c. Identify the entities involved and the obligations imposed by SCCs on HealthFirst and its data recipients.</w:t>
            </w:r>
          </w:p>
          <w:p>
            <w:pPr>
              <w:pStyle w:val="Normal"/>
              <w:widowControl/>
              <w:spacing w:before="0" w:after="0"/>
              <w:jc w:val="left"/>
              <w:rPr>
                <w:lang w:val="en-GB"/>
              </w:rPr>
            </w:pPr>
            <w:r>
              <w:rPr>
                <w:rFonts w:eastAsia="Calibri" w:cs=""/>
                <w:kern w:val="0"/>
                <w:sz w:val="24"/>
                <w:szCs w:val="24"/>
                <w:lang w:val="en-LV" w:eastAsia="en-US" w:bidi="ar-SA"/>
              </w:rPr>
            </w:r>
          </w:p>
          <w:p>
            <w:pPr>
              <w:pStyle w:val="Normal"/>
              <w:widowControl/>
              <w:spacing w:before="0" w:after="0"/>
              <w:jc w:val="left"/>
              <w:rPr>
                <w:lang w:val="en-GB"/>
              </w:rPr>
            </w:pPr>
            <w:r>
              <w:rPr>
                <w:rFonts w:eastAsia="Calibri" w:cs=""/>
                <w:kern w:val="0"/>
                <w:sz w:val="24"/>
                <w:szCs w:val="24"/>
                <w:lang w:val="en-GB" w:eastAsia="en-US" w:bidi="ar-SA"/>
              </w:rPr>
              <w:t>2. BCRs:</w:t>
            </w:r>
          </w:p>
          <w:p>
            <w:pPr>
              <w:pStyle w:val="Normal"/>
              <w:widowControl/>
              <w:spacing w:before="0" w:after="0"/>
              <w:jc w:val="left"/>
              <w:rPr>
                <w:lang w:val="en-GB"/>
              </w:rPr>
            </w:pPr>
            <w:r>
              <w:rPr>
                <w:rFonts w:eastAsia="Calibri" w:cs=""/>
                <w:kern w:val="0"/>
                <w:sz w:val="24"/>
                <w:szCs w:val="24"/>
                <w:lang w:val="en-GB" w:eastAsia="en-US" w:bidi="ar-SA"/>
              </w:rPr>
              <w:t>a. Describe the concept of BCRs and their significance in the context of multinational organizations like HealthFirst.</w:t>
            </w:r>
          </w:p>
          <w:p>
            <w:pPr>
              <w:pStyle w:val="Normal"/>
              <w:widowControl/>
              <w:spacing w:before="0" w:after="0"/>
              <w:jc w:val="left"/>
              <w:rPr>
                <w:lang w:val="en-GB"/>
              </w:rPr>
            </w:pPr>
            <w:r>
              <w:rPr>
                <w:rFonts w:eastAsia="Calibri" w:cs=""/>
                <w:kern w:val="0"/>
                <w:sz w:val="24"/>
                <w:szCs w:val="24"/>
                <w:lang w:val="en-GB" w:eastAsia="en-US" w:bidi="ar-SA"/>
              </w:rPr>
              <w:t>b. Discuss the potential benefits and challenges of implementing BCRs for HealthFirst's EHR to achieve compliance and ensure consistent data protection across multiple jurisdictions.</w:t>
            </w:r>
          </w:p>
          <w:p>
            <w:pPr>
              <w:pStyle w:val="Normal"/>
              <w:widowControl/>
              <w:spacing w:before="0" w:after="0"/>
              <w:jc w:val="left"/>
              <w:rPr>
                <w:lang w:val="en-GB"/>
              </w:rPr>
            </w:pPr>
            <w:r>
              <w:rPr>
                <w:rFonts w:eastAsia="Calibri" w:cs=""/>
                <w:kern w:val="0"/>
                <w:sz w:val="24"/>
                <w:szCs w:val="24"/>
                <w:lang w:val="en-GB" w:eastAsia="en-US" w:bidi="ar-SA"/>
              </w:rPr>
              <w:t>c. Outline the steps HealthFirst would need to take to establish and obtain approval for BCRs from relevant supervisory authorities.</w:t>
            </w:r>
          </w:p>
          <w:p>
            <w:pPr>
              <w:pStyle w:val="Normal"/>
              <w:widowControl/>
              <w:spacing w:before="0" w:after="0"/>
              <w:jc w:val="left"/>
              <w:rPr>
                <w:lang w:val="en-GB"/>
              </w:rPr>
            </w:pPr>
            <w:r>
              <w:rPr>
                <w:rFonts w:eastAsia="Calibri" w:cs=""/>
                <w:kern w:val="0"/>
                <w:sz w:val="24"/>
                <w:szCs w:val="24"/>
                <w:lang w:val="en-LV" w:eastAsia="en-US" w:bidi="ar-SA"/>
              </w:rPr>
            </w:r>
          </w:p>
          <w:p>
            <w:pPr>
              <w:pStyle w:val="Normal"/>
              <w:widowControl/>
              <w:spacing w:before="0" w:after="0"/>
              <w:jc w:val="left"/>
              <w:rPr>
                <w:lang w:val="en-GB"/>
              </w:rPr>
            </w:pPr>
            <w:r>
              <w:rPr>
                <w:rFonts w:eastAsia="Calibri" w:cs=""/>
                <w:kern w:val="0"/>
                <w:sz w:val="24"/>
                <w:szCs w:val="24"/>
                <w:lang w:val="en-GB" w:eastAsia="en-US" w:bidi="ar-SA"/>
              </w:rPr>
              <w:t>3. Comparative Analysis:</w:t>
            </w:r>
          </w:p>
          <w:p>
            <w:pPr>
              <w:pStyle w:val="Normal"/>
              <w:widowControl/>
              <w:spacing w:before="0" w:after="0"/>
              <w:jc w:val="left"/>
              <w:rPr>
                <w:lang w:val="en-GB"/>
              </w:rPr>
            </w:pPr>
            <w:r>
              <w:rPr>
                <w:rFonts w:eastAsia="Calibri" w:cs=""/>
                <w:kern w:val="0"/>
                <w:sz w:val="24"/>
                <w:szCs w:val="24"/>
                <w:lang w:val="en-GB" w:eastAsia="en-US" w:bidi="ar-SA"/>
              </w:rPr>
              <w:t>a. Compare and contrast SCCs and BCRs in terms of their applicability, legal frameworks, and implementation processes.</w:t>
            </w:r>
          </w:p>
          <w:p>
            <w:pPr>
              <w:pStyle w:val="Normal"/>
              <w:widowControl/>
              <w:spacing w:before="0" w:after="0"/>
              <w:jc w:val="left"/>
              <w:rPr>
                <w:lang w:val="en-GB"/>
              </w:rPr>
            </w:pPr>
            <w:r>
              <w:rPr>
                <w:rFonts w:eastAsia="Calibri" w:cs=""/>
                <w:kern w:val="0"/>
                <w:sz w:val="24"/>
                <w:szCs w:val="24"/>
                <w:lang w:val="en-GB" w:eastAsia="en-US" w:bidi="ar-SA"/>
              </w:rPr>
              <w:t>b. Assess the suitability of SCCs and BCRs for HealthFirst's EHR, taking into account factors such as the volume and sensitivity of personal data processed, the number of countries involved, and the organization's commitment to data protection.</w:t>
            </w:r>
          </w:p>
          <w:p>
            <w:pPr>
              <w:pStyle w:val="Normal"/>
              <w:widowControl/>
              <w:spacing w:before="0" w:after="0"/>
              <w:jc w:val="left"/>
              <w:rPr>
                <w:lang w:val="en-GB"/>
              </w:rPr>
            </w:pPr>
            <w:r>
              <w:rPr>
                <w:rFonts w:eastAsia="Calibri" w:cs=""/>
                <w:kern w:val="0"/>
                <w:sz w:val="24"/>
                <w:szCs w:val="24"/>
                <w:lang w:val="en-LV" w:eastAsia="en-US" w:bidi="ar-SA"/>
              </w:rPr>
            </w:r>
          </w:p>
          <w:p>
            <w:pPr>
              <w:pStyle w:val="Normal"/>
              <w:widowControl/>
              <w:spacing w:before="0" w:after="0"/>
              <w:jc w:val="left"/>
              <w:rPr>
                <w:lang w:val="en-GB"/>
              </w:rPr>
            </w:pPr>
            <w:r>
              <w:rPr>
                <w:rFonts w:eastAsia="Calibri" w:cs=""/>
                <w:kern w:val="0"/>
                <w:sz w:val="24"/>
                <w:szCs w:val="24"/>
                <w:lang w:val="en-GB" w:eastAsia="en-US" w:bidi="ar-SA"/>
              </w:rPr>
              <w:t>4. Compliance Considerations:</w:t>
            </w:r>
          </w:p>
          <w:p>
            <w:pPr>
              <w:pStyle w:val="Normal"/>
              <w:widowControl/>
              <w:spacing w:before="0" w:after="0"/>
              <w:jc w:val="left"/>
              <w:rPr>
                <w:lang w:val="en-GB"/>
              </w:rPr>
            </w:pPr>
            <w:r>
              <w:rPr>
                <w:rFonts w:eastAsia="Calibri" w:cs=""/>
                <w:kern w:val="0"/>
                <w:sz w:val="24"/>
                <w:szCs w:val="24"/>
                <w:lang w:val="en-GB" w:eastAsia="en-US" w:bidi="ar-SA"/>
              </w:rPr>
              <w:t>a. Identify the key provisions of the General Data Protection Regulation (GDPR) related to international data transfers and their relevance to HealthFirst's EHR.</w:t>
            </w:r>
          </w:p>
          <w:p>
            <w:pPr>
              <w:pStyle w:val="Normal"/>
              <w:widowControl/>
              <w:spacing w:before="0" w:after="0"/>
              <w:jc w:val="left"/>
              <w:rPr>
                <w:lang w:val="en-GB"/>
              </w:rPr>
            </w:pPr>
            <w:r>
              <w:rPr>
                <w:rFonts w:eastAsia="Calibri" w:cs=""/>
                <w:kern w:val="0"/>
                <w:sz w:val="24"/>
                <w:szCs w:val="24"/>
                <w:lang w:val="en-GB" w:eastAsia="en-US" w:bidi="ar-SA"/>
              </w:rPr>
              <w:t>b. Discuss the role of supervisory authorities, such as Data Protection Authorities (DPAs), in overseeing and ensuring compliance with SCCs and BCRs for international data transfers.</w:t>
            </w:r>
          </w:p>
          <w:p>
            <w:pPr>
              <w:pStyle w:val="Normal"/>
              <w:widowControl/>
              <w:spacing w:before="0" w:after="0"/>
              <w:jc w:val="left"/>
              <w:rPr>
                <w:lang w:val="en-GB"/>
              </w:rPr>
            </w:pPr>
            <w:r>
              <w:rPr>
                <w:rFonts w:eastAsia="Calibri" w:cs=""/>
                <w:kern w:val="0"/>
                <w:sz w:val="24"/>
                <w:szCs w:val="24"/>
                <w:lang w:val="en-LV" w:eastAsia="en-US" w:bidi="ar-SA"/>
              </w:rPr>
            </w:r>
          </w:p>
          <w:p>
            <w:pPr>
              <w:pStyle w:val="Normal"/>
              <w:widowControl/>
              <w:spacing w:before="0" w:after="0"/>
              <w:jc w:val="left"/>
              <w:rPr>
                <w:lang w:val="en-GB"/>
              </w:rPr>
            </w:pPr>
            <w:r>
              <w:rPr>
                <w:rFonts w:eastAsia="Calibri" w:cs=""/>
                <w:kern w:val="0"/>
                <w:sz w:val="24"/>
                <w:szCs w:val="24"/>
                <w:lang w:val="en-GB" w:eastAsia="en-US" w:bidi="ar-SA"/>
              </w:rPr>
              <w:t>5. Practical Implementation:</w:t>
            </w:r>
          </w:p>
          <w:p>
            <w:pPr>
              <w:pStyle w:val="Normal"/>
              <w:widowControl/>
              <w:spacing w:before="0" w:after="0"/>
              <w:jc w:val="left"/>
              <w:rPr>
                <w:lang w:val="en-GB"/>
              </w:rPr>
            </w:pPr>
            <w:r>
              <w:rPr>
                <w:rFonts w:eastAsia="Calibri" w:cs=""/>
                <w:kern w:val="0"/>
                <w:sz w:val="24"/>
                <w:szCs w:val="24"/>
                <w:lang w:val="en-GB" w:eastAsia="en-US" w:bidi="ar-SA"/>
              </w:rPr>
              <w:t>a. Provide recommendations on how HealthFirst can effectively implement SCCs or BCRs within its EHR system to comply with GDPR requirements and safeguard personal data during international transfers.</w:t>
            </w:r>
          </w:p>
          <w:p>
            <w:pPr>
              <w:pStyle w:val="Normal"/>
              <w:widowControl/>
              <w:spacing w:before="0" w:after="0"/>
              <w:jc w:val="left"/>
              <w:rPr>
                <w:lang w:val="en-GB"/>
              </w:rPr>
            </w:pPr>
            <w:r>
              <w:rPr>
                <w:rFonts w:eastAsia="Calibri" w:cs=""/>
                <w:kern w:val="0"/>
                <w:sz w:val="24"/>
                <w:szCs w:val="24"/>
                <w:lang w:val="en-GB" w:eastAsia="en-US" w:bidi="ar-SA"/>
              </w:rPr>
              <w:t>b. Discuss the importance of maintaining documentation, conducting periodic audits, and ensuring ongoing compliance with SCCs or BCRs.</w:t>
            </w:r>
          </w:p>
          <w:p>
            <w:pPr>
              <w:pStyle w:val="Normal"/>
              <w:widowControl/>
              <w:spacing w:before="0" w:after="0"/>
              <w:jc w:val="left"/>
              <w:rPr>
                <w:lang w:val="en-GB"/>
              </w:rPr>
            </w:pPr>
            <w:r>
              <w:rPr>
                <w:rFonts w:eastAsia="Calibri" w:cs=""/>
                <w:kern w:val="0"/>
                <w:sz w:val="24"/>
                <w:szCs w:val="24"/>
                <w:lang w:val="en-LV" w:eastAsia="en-US" w:bidi="ar-SA"/>
              </w:rPr>
            </w:r>
          </w:p>
          <w:p>
            <w:pPr>
              <w:pStyle w:val="Normal"/>
              <w:widowControl/>
              <w:spacing w:before="0" w:after="0"/>
              <w:jc w:val="left"/>
              <w:rPr>
                <w:lang w:val="en-GB"/>
              </w:rPr>
            </w:pPr>
            <w:r>
              <w:rPr>
                <w:rFonts w:eastAsia="Calibri" w:cs=""/>
                <w:kern w:val="0"/>
                <w:sz w:val="24"/>
                <w:szCs w:val="24"/>
                <w:lang w:val="en-GB" w:eastAsia="en-US" w:bidi="ar-SA"/>
              </w:rPr>
              <w:t xml:space="preserve">In your responses, consider real-world examples, cite relevant articles and guidelines from GDPR and other applicable data protection regulations, and discuss the implications and considerations specific to HealthFirst's EHR and its international operations. </w:t>
              <w:br/>
            </w:r>
          </w:p>
        </w:tc>
        <w:tc>
          <w:tcPr>
            <w:tcW w:w="8930" w:type="dxa"/>
            <w:tcBorders/>
          </w:tcPr>
          <w:p>
            <w:pPr>
              <w:pStyle w:val="Normal"/>
              <w:widowControl/>
              <w:spacing w:before="0" w:after="0"/>
              <w:jc w:val="left"/>
              <w:rPr>
                <w:lang w:val="en-GB"/>
              </w:rPr>
            </w:pPr>
            <w:r>
              <w:rPr>
                <w:rFonts w:eastAsia="Calibri" w:cs=""/>
                <w:kern w:val="0"/>
                <w:sz w:val="24"/>
                <w:szCs w:val="24"/>
                <w:lang w:val="en-LV" w:eastAsia="en-US" w:bidi="ar-SA"/>
              </w:rPr>
            </w:r>
          </w:p>
        </w:tc>
      </w:tr>
    </w:tbl>
    <w:p>
      <w:pPr>
        <w:pStyle w:val="Normal"/>
        <w:rPr>
          <w:lang w:val="en-GB"/>
        </w:rPr>
      </w:pPr>
      <w:r>
        <w:rPr>
          <w:lang w:val="en-GB"/>
        </w:rPr>
      </w:r>
      <w:r>
        <w:br w:type="page"/>
      </w:r>
    </w:p>
    <w:p>
      <w:pPr>
        <w:pStyle w:val="1"/>
        <w:rPr>
          <w:lang w:val="en-GB"/>
        </w:rPr>
      </w:pPr>
      <w:r>
        <w:rPr>
          <w:lang w:val="en-GB"/>
        </w:rPr>
        <w:t>Case study</w:t>
      </w:r>
    </w:p>
    <w:p>
      <w:pPr>
        <w:pStyle w:val="Normal"/>
        <w:rPr>
          <w:lang w:val="en-GB"/>
        </w:rPr>
      </w:pPr>
      <w:r>
        <w:rPr>
          <w:lang w:val="en-GB"/>
        </w:rPr>
        <w:t>Case Study: Handling Personal Data of Special Categories under GDPR</w:t>
      </w:r>
    </w:p>
    <w:p>
      <w:pPr>
        <w:pStyle w:val="Normal"/>
        <w:rPr>
          <w:lang w:val="en-GB"/>
        </w:rPr>
      </w:pPr>
      <w:r>
        <w:rPr>
          <w:lang w:val="en-GB"/>
        </w:rPr>
      </w:r>
    </w:p>
    <w:p>
      <w:pPr>
        <w:pStyle w:val="Normal"/>
        <w:rPr>
          <w:lang w:val="en-GB"/>
        </w:rPr>
      </w:pPr>
      <w:r>
        <w:rPr>
          <w:lang w:val="en-GB"/>
        </w:rPr>
        <w:t>Scenario:</w:t>
      </w:r>
    </w:p>
    <w:p>
      <w:pPr>
        <w:pStyle w:val="Normal"/>
        <w:rPr>
          <w:lang w:val="en-GB"/>
        </w:rPr>
      </w:pPr>
      <w:r>
        <w:rPr>
          <w:lang w:val="en-GB"/>
        </w:rPr>
        <w:t>You are a data protection officer for a healthcare organization named "HealthFirst." HealthFirst provides various medical services, including consultations, treatments, and medical research. As part of its operations, HealthFirst processes personal data that falls under the special categories of data as defined by the General Data Protection Regulation (GDPR). HealthFirst has multiple teams / subsidiaries with HQ in Amsterdam (Netherlands), branch office in Uruguay (IT service part) and another office in London (UK).</w:t>
      </w:r>
    </w:p>
    <w:p>
      <w:pPr>
        <w:pStyle w:val="Normal"/>
        <w:rPr>
          <w:lang w:val="en-GB"/>
        </w:rPr>
      </w:pPr>
      <w:r>
        <w:rPr>
          <w:lang w:val="en-GB"/>
        </w:rPr>
      </w:r>
    </w:p>
    <w:p>
      <w:pPr>
        <w:pStyle w:val="Normal"/>
        <w:rPr>
          <w:lang w:val="en-GB"/>
        </w:rPr>
      </w:pPr>
      <w:r>
        <w:rPr>
          <w:lang w:val="en-GB"/>
        </w:rPr>
        <w:t>Technical Infrastructure of HealthFirst:</w:t>
      </w:r>
    </w:p>
    <w:p>
      <w:pPr>
        <w:pStyle w:val="Normal"/>
        <w:rPr>
          <w:lang w:val="en-GB"/>
        </w:rPr>
      </w:pPr>
      <w:r>
        <w:rPr>
          <w:lang w:val="en-GB"/>
        </w:rPr>
      </w:r>
    </w:p>
    <w:p>
      <w:pPr>
        <w:pStyle w:val="Normal"/>
        <w:rPr>
          <w:lang w:val="en-GB"/>
        </w:rPr>
      </w:pPr>
      <w:r>
        <w:rPr>
          <w:lang w:val="en-GB"/>
        </w:rPr>
        <w:t>HealthFirst relies on a robust and secure technical infrastructure to support its healthcare operations and handle personal data, including special category data. The following is an overview of the key components in HealthFirst's technical infrastructure, accompanied by a component diagram:</w:t>
      </w:r>
    </w:p>
    <w:p>
      <w:pPr>
        <w:pStyle w:val="Normal"/>
        <w:rPr>
          <w:lang w:val="en-GB"/>
        </w:rPr>
      </w:pPr>
      <w:r>
        <w:rPr>
          <w:lang w:val="en-GB"/>
        </w:rPr>
      </w:r>
    </w:p>
    <w:p>
      <w:pPr>
        <w:pStyle w:val="Normal"/>
        <w:rPr>
          <w:lang w:val="en-GB"/>
        </w:rPr>
      </w:pPr>
      <w:r>
        <w:rPr>
          <w:lang w:val="en-GB"/>
        </w:rPr>
        <w:t>1. Application Servers:</w:t>
      </w:r>
    </w:p>
    <w:p>
      <w:pPr>
        <w:pStyle w:val="ListParagraph"/>
        <w:numPr>
          <w:ilvl w:val="0"/>
          <w:numId w:val="7"/>
        </w:numPr>
        <w:rPr>
          <w:lang w:val="en-GB"/>
        </w:rPr>
      </w:pPr>
      <w:r>
        <w:rPr>
          <w:lang w:val="en-GB"/>
        </w:rPr>
        <w:t>HealthFirst utilizes application servers to host and run various healthcare applications, including electronic health records (EHR) systems, patient portals, and medical research platforms.</w:t>
      </w:r>
    </w:p>
    <w:p>
      <w:pPr>
        <w:pStyle w:val="ListParagraph"/>
        <w:numPr>
          <w:ilvl w:val="0"/>
          <w:numId w:val="7"/>
        </w:numPr>
        <w:rPr>
          <w:lang w:val="en-GB"/>
        </w:rPr>
      </w:pPr>
      <w:r>
        <w:rPr>
          <w:lang w:val="en-GB"/>
        </w:rPr>
        <w:t>These servers handle the processing and storage of special category personal data, ensuring accessibility and availability to authorized personnel.</w:t>
      </w:r>
    </w:p>
    <w:p>
      <w:pPr>
        <w:pStyle w:val="Normal"/>
        <w:rPr>
          <w:lang w:val="en-GB"/>
        </w:rPr>
      </w:pPr>
      <w:r>
        <w:rPr>
          <w:lang w:val="en-GB"/>
        </w:rPr>
      </w:r>
    </w:p>
    <w:p>
      <w:pPr>
        <w:pStyle w:val="Normal"/>
        <w:rPr>
          <w:lang w:val="en-GB"/>
        </w:rPr>
      </w:pPr>
      <w:r>
        <w:rPr>
          <w:lang w:val="en-GB"/>
        </w:rPr>
        <w:t>2. Database Servers:</w:t>
      </w:r>
    </w:p>
    <w:p>
      <w:pPr>
        <w:pStyle w:val="ListParagraph"/>
        <w:numPr>
          <w:ilvl w:val="0"/>
          <w:numId w:val="6"/>
        </w:numPr>
        <w:rPr>
          <w:lang w:val="en-GB"/>
        </w:rPr>
      </w:pPr>
      <w:r>
        <w:rPr>
          <w:lang w:val="en-GB"/>
        </w:rPr>
        <w:t>Database servers are responsible for storing and managing the vast amounts of healthcare data, including special category personal data, collected by HealthFirst.</w:t>
      </w:r>
    </w:p>
    <w:p>
      <w:pPr>
        <w:pStyle w:val="ListParagraph"/>
        <w:numPr>
          <w:ilvl w:val="0"/>
          <w:numId w:val="6"/>
        </w:numPr>
        <w:rPr>
          <w:lang w:val="en-GB"/>
        </w:rPr>
      </w:pPr>
      <w:r>
        <w:rPr>
          <w:lang w:val="en-GB"/>
        </w:rPr>
        <w:t>These servers adhere to strict security measures, such as encryption and access controls, to protect the confidentiality and integrity of the stored data.</w:t>
      </w:r>
    </w:p>
    <w:p>
      <w:pPr>
        <w:pStyle w:val="Normal"/>
        <w:rPr>
          <w:lang w:val="en-GB"/>
        </w:rPr>
      </w:pPr>
      <w:r>
        <w:rPr>
          <w:lang w:val="en-GB"/>
        </w:rPr>
      </w:r>
    </w:p>
    <w:p>
      <w:pPr>
        <w:pStyle w:val="Normal"/>
        <w:rPr>
          <w:lang w:val="en-GB"/>
        </w:rPr>
      </w:pPr>
      <w:r>
        <w:rPr>
          <w:lang w:val="en-GB"/>
        </w:rPr>
        <w:t>3. Network Infrastructure:</w:t>
      </w:r>
    </w:p>
    <w:p>
      <w:pPr>
        <w:pStyle w:val="ListParagraph"/>
        <w:numPr>
          <w:ilvl w:val="0"/>
          <w:numId w:val="5"/>
        </w:numPr>
        <w:rPr>
          <w:lang w:val="en-GB"/>
        </w:rPr>
      </w:pPr>
      <w:r>
        <w:rPr>
          <w:lang w:val="en-GB"/>
        </w:rPr>
        <w:t>HealthFirst's network infrastructure connects various components of the technical environment, enabling seamless data exchange and communication.</w:t>
      </w:r>
    </w:p>
    <w:p>
      <w:pPr>
        <w:pStyle w:val="ListParagraph"/>
        <w:numPr>
          <w:ilvl w:val="0"/>
          <w:numId w:val="5"/>
        </w:numPr>
        <w:rPr>
          <w:lang w:val="en-GB"/>
        </w:rPr>
      </w:pPr>
      <w:r>
        <w:rPr>
          <w:lang w:val="en-GB"/>
        </w:rPr>
        <w:t>Firewalls, intrusion detection and prevention systems, and other network security measures are implemented to safeguard against unauthorized access and potential threats.</w:t>
      </w:r>
    </w:p>
    <w:p>
      <w:pPr>
        <w:pStyle w:val="Normal"/>
        <w:rPr>
          <w:lang w:val="en-GB"/>
        </w:rPr>
      </w:pPr>
      <w:r>
        <w:rPr>
          <w:lang w:val="en-GB"/>
        </w:rPr>
      </w:r>
    </w:p>
    <w:p>
      <w:pPr>
        <w:pStyle w:val="Normal"/>
        <w:rPr>
          <w:lang w:val="en-GB"/>
        </w:rPr>
      </w:pPr>
      <w:r>
        <w:rPr>
          <w:lang w:val="en-GB"/>
        </w:rPr>
        <w:t>4. Data Encryption Mechanisms:</w:t>
      </w:r>
    </w:p>
    <w:p>
      <w:pPr>
        <w:pStyle w:val="ListParagraph"/>
        <w:numPr>
          <w:ilvl w:val="0"/>
          <w:numId w:val="4"/>
        </w:numPr>
        <w:rPr>
          <w:lang w:val="en-GB"/>
        </w:rPr>
      </w:pPr>
      <w:r>
        <w:rPr>
          <w:lang w:val="en-GB"/>
        </w:rPr>
        <w:t>HealthFirst employs encryption mechanisms to protect the confidentiality of special category personal data during transmission and storage.</w:t>
      </w:r>
    </w:p>
    <w:p>
      <w:pPr>
        <w:pStyle w:val="ListParagraph"/>
        <w:numPr>
          <w:ilvl w:val="0"/>
          <w:numId w:val="4"/>
        </w:numPr>
        <w:rPr>
          <w:lang w:val="en-GB"/>
        </w:rPr>
      </w:pPr>
      <w:r>
        <w:rPr>
          <w:lang w:val="en-GB"/>
        </w:rPr>
        <w:t>Transport Layer Security (TLS) or Secure Sockets Layer (SSL) protocols are used to encrypt data in transit, while encryption algorithms (e.g., AES) secure data at rest in databases or storage systems.</w:t>
      </w:r>
    </w:p>
    <w:p>
      <w:pPr>
        <w:pStyle w:val="Normal"/>
        <w:rPr>
          <w:lang w:val="en-GB"/>
        </w:rPr>
      </w:pPr>
      <w:r>
        <w:rPr>
          <w:lang w:val="en-GB"/>
        </w:rPr>
      </w:r>
    </w:p>
    <w:p>
      <w:pPr>
        <w:pStyle w:val="Normal"/>
        <w:rPr>
          <w:lang w:val="en-GB"/>
        </w:rPr>
      </w:pPr>
      <w:r>
        <w:rPr>
          <w:lang w:val="en-GB"/>
        </w:rPr>
        <w:t>5. Authentication and Access Controls:</w:t>
      </w:r>
    </w:p>
    <w:p>
      <w:pPr>
        <w:pStyle w:val="ListParagraph"/>
        <w:numPr>
          <w:ilvl w:val="0"/>
          <w:numId w:val="3"/>
        </w:numPr>
        <w:rPr>
          <w:lang w:val="en-GB"/>
        </w:rPr>
      </w:pPr>
      <w:r>
        <w:rPr>
          <w:lang w:val="en-GB"/>
        </w:rPr>
        <w:t>HealthFirst implements robust authentication mechanisms, such as username-password combinations, multi-factor authentication (MFA), or biometric authentication, to ensure only authorized individuals can access sensitive systems and data.</w:t>
      </w:r>
    </w:p>
    <w:p>
      <w:pPr>
        <w:pStyle w:val="ListParagraph"/>
        <w:numPr>
          <w:ilvl w:val="0"/>
          <w:numId w:val="3"/>
        </w:numPr>
        <w:rPr>
          <w:lang w:val="en-GB"/>
        </w:rPr>
      </w:pPr>
      <w:r>
        <w:rPr>
          <w:lang w:val="en-GB"/>
        </w:rPr>
        <w:t>Access controls are implemented to enforce granular permissions, restricting access to special category personal data based on roles, responsibilities, and the principle of least privilege.</w:t>
      </w:r>
    </w:p>
    <w:p>
      <w:pPr>
        <w:pStyle w:val="Normal"/>
        <w:rPr>
          <w:lang w:val="en-GB"/>
        </w:rPr>
      </w:pPr>
      <w:r>
        <w:rPr>
          <w:lang w:val="en-GB"/>
        </w:rPr>
      </w:r>
    </w:p>
    <w:p>
      <w:pPr>
        <w:pStyle w:val="Normal"/>
        <w:rPr>
          <w:lang w:val="en-GB"/>
        </w:rPr>
      </w:pPr>
      <w:r>
        <w:rPr>
          <w:lang w:val="en-GB"/>
        </w:rPr>
        <w:t>6. Backup and Disaster Recovery:</w:t>
      </w:r>
    </w:p>
    <w:p>
      <w:pPr>
        <w:pStyle w:val="ListParagraph"/>
        <w:numPr>
          <w:ilvl w:val="0"/>
          <w:numId w:val="2"/>
        </w:numPr>
        <w:rPr>
          <w:lang w:val="en-GB"/>
        </w:rPr>
      </w:pPr>
      <w:r>
        <w:rPr>
          <w:lang w:val="en-GB"/>
        </w:rPr>
        <w:t>HealthFirst maintains regular backups of its systems and databases to ensure data resilience and facilitate disaster recovery in case of unexpected events or data loss incidents.</w:t>
      </w:r>
    </w:p>
    <w:p>
      <w:pPr>
        <w:pStyle w:val="ListParagraph"/>
        <w:numPr>
          <w:ilvl w:val="0"/>
          <w:numId w:val="2"/>
        </w:numPr>
        <w:rPr>
          <w:lang w:val="en-GB"/>
        </w:rPr>
      </w:pPr>
      <w:r>
        <w:rPr>
          <w:lang w:val="en-GB"/>
        </w:rPr>
        <w:t>Backup data is securely stored and periodically tested to ensure its integrity and availability.</w:t>
      </w:r>
    </w:p>
    <w:p>
      <w:pPr>
        <w:pStyle w:val="Normal"/>
        <w:rPr>
          <w:lang w:val="en-GB"/>
        </w:rPr>
      </w:pPr>
      <w:r>
        <w:rPr>
          <w:lang w:val="en-GB"/>
        </w:rPr>
      </w:r>
    </w:p>
    <w:p>
      <w:pPr>
        <w:pStyle w:val="Normal"/>
        <w:rPr>
          <w:lang w:val="en-GB"/>
        </w:rPr>
      </w:pPr>
      <w:r>
        <w:rPr>
          <w:lang w:val="en-GB"/>
        </w:rPr>
        <w:t>Component Diagram:</w:t>
      </w:r>
    </w:p>
    <w:p>
      <w:pPr>
        <w:pStyle w:val="Normal"/>
        <w:jc w:val="center"/>
        <w:rPr>
          <w:lang w:val="en-GB"/>
        </w:rPr>
      </w:pPr>
      <w:r>
        <w:rPr/>
        <w:drawing>
          <wp:inline distT="0" distB="0" distL="0" distR="0">
            <wp:extent cx="5082540" cy="29000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14" t="12907" r="15000" b="23655"/>
                    <a:stretch>
                      <a:fillRect/>
                    </a:stretch>
                  </pic:blipFill>
                  <pic:spPr bwMode="auto">
                    <a:xfrm>
                      <a:off x="0" y="0"/>
                      <a:ext cx="5082540" cy="2900045"/>
                    </a:xfrm>
                    <a:prstGeom prst="rect">
                      <a:avLst/>
                    </a:prstGeom>
                  </pic:spPr>
                </pic:pic>
              </a:graphicData>
            </a:graphic>
          </wp:inline>
        </w:drawing>
      </w:r>
    </w:p>
    <w:p>
      <w:pPr>
        <w:pStyle w:val="Normal"/>
        <w:rPr>
          <w:lang w:val="en-GB"/>
        </w:rPr>
      </w:pPr>
      <w:r>
        <w:rPr>
          <w:lang w:val="en-GB"/>
        </w:rPr>
      </w:r>
    </w:p>
    <w:p>
      <w:pPr>
        <w:pStyle w:val="Normal"/>
        <w:rPr>
          <w:lang w:val="en-GB"/>
        </w:rPr>
      </w:pPr>
      <w:r>
        <w:rPr>
          <w:lang w:val="en-GB"/>
        </w:rPr>
        <w:t>This component diagram illustrates the major components and their relationships within HealthFirst's technical infrastructure. Each component plays a vital role in supporting the secure processing, storage, and transmission of special category personal data while adhering to GDPR's requirements for data protection.</w:t>
      </w:r>
    </w:p>
    <w:sectPr>
      <w:type w:val="nextPage"/>
      <w:pgSz w:orient="landscape" w:w="16838" w:h="11906"/>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520" w:hanging="360"/>
      </w:pPr>
      <w:rPr>
        <w:rFonts w:ascii="Calibri" w:hAnsi="Calibri" w:cs="Calibri" w:hint="default"/>
        <w:rFonts w:eastAsiaTheme="minorHAnsi"/>
      </w:rPr>
    </w:lvl>
    <w:lvl w:ilvl="1">
      <w:start w:val="1"/>
      <w:numFmt w:val="bullet"/>
      <w:lvlText w:val="o"/>
      <w:lvlJc w:val="left"/>
      <w:pPr>
        <w:tabs>
          <w:tab w:val="num" w:pos="0"/>
        </w:tabs>
        <w:ind w:left="1240" w:hanging="360"/>
      </w:pPr>
      <w:rPr>
        <w:rFonts w:ascii="Courier New" w:hAnsi="Courier New" w:cs="Courier New" w:hint="default"/>
      </w:rPr>
    </w:lvl>
    <w:lvl w:ilvl="2">
      <w:start w:val="1"/>
      <w:numFmt w:val="bullet"/>
      <w:lvlText w:val=""/>
      <w:lvlJc w:val="left"/>
      <w:pPr>
        <w:tabs>
          <w:tab w:val="num" w:pos="0"/>
        </w:tabs>
        <w:ind w:left="1960" w:hanging="360"/>
      </w:pPr>
      <w:rPr>
        <w:rFonts w:ascii="Wingdings" w:hAnsi="Wingdings" w:cs="Wingdings" w:hint="default"/>
      </w:rPr>
    </w:lvl>
    <w:lvl w:ilvl="3">
      <w:start w:val="1"/>
      <w:numFmt w:val="bullet"/>
      <w:lvlText w:val=""/>
      <w:lvlJc w:val="left"/>
      <w:pPr>
        <w:tabs>
          <w:tab w:val="num" w:pos="0"/>
        </w:tabs>
        <w:ind w:left="2680" w:hanging="360"/>
      </w:pPr>
      <w:rPr>
        <w:rFonts w:ascii="Symbol" w:hAnsi="Symbol" w:cs="Symbol" w:hint="default"/>
      </w:rPr>
    </w:lvl>
    <w:lvl w:ilvl="4">
      <w:start w:val="1"/>
      <w:numFmt w:val="bullet"/>
      <w:lvlText w:val="o"/>
      <w:lvlJc w:val="left"/>
      <w:pPr>
        <w:tabs>
          <w:tab w:val="num" w:pos="0"/>
        </w:tabs>
        <w:ind w:left="3400" w:hanging="360"/>
      </w:pPr>
      <w:rPr>
        <w:rFonts w:ascii="Courier New" w:hAnsi="Courier New" w:cs="Courier New" w:hint="default"/>
      </w:rPr>
    </w:lvl>
    <w:lvl w:ilvl="5">
      <w:start w:val="1"/>
      <w:numFmt w:val="bullet"/>
      <w:lvlText w:val=""/>
      <w:lvlJc w:val="left"/>
      <w:pPr>
        <w:tabs>
          <w:tab w:val="num" w:pos="0"/>
        </w:tabs>
        <w:ind w:left="4120" w:hanging="360"/>
      </w:pPr>
      <w:rPr>
        <w:rFonts w:ascii="Wingdings" w:hAnsi="Wingdings" w:cs="Wingdings" w:hint="default"/>
      </w:rPr>
    </w:lvl>
    <w:lvl w:ilvl="6">
      <w:start w:val="1"/>
      <w:numFmt w:val="bullet"/>
      <w:lvlText w:val=""/>
      <w:lvlJc w:val="left"/>
      <w:pPr>
        <w:tabs>
          <w:tab w:val="num" w:pos="0"/>
        </w:tabs>
        <w:ind w:left="4840" w:hanging="360"/>
      </w:pPr>
      <w:rPr>
        <w:rFonts w:ascii="Symbol" w:hAnsi="Symbol" w:cs="Symbol" w:hint="default"/>
      </w:rPr>
    </w:lvl>
    <w:lvl w:ilvl="7">
      <w:start w:val="1"/>
      <w:numFmt w:val="bullet"/>
      <w:lvlText w:val="o"/>
      <w:lvlJc w:val="left"/>
      <w:pPr>
        <w:tabs>
          <w:tab w:val="num" w:pos="0"/>
        </w:tabs>
        <w:ind w:left="5560" w:hanging="360"/>
      </w:pPr>
      <w:rPr>
        <w:rFonts w:ascii="Courier New" w:hAnsi="Courier New" w:cs="Courier New" w:hint="default"/>
      </w:rPr>
    </w:lvl>
    <w:lvl w:ilvl="8">
      <w:start w:val="1"/>
      <w:numFmt w:val="bullet"/>
      <w:lvlText w:val=""/>
      <w:lvlJc w:val="left"/>
      <w:pPr>
        <w:tabs>
          <w:tab w:val="num" w:pos="0"/>
        </w:tabs>
        <w:ind w:left="6280" w:hanging="360"/>
      </w:pPr>
      <w:rPr>
        <w:rFonts w:ascii="Wingdings" w:hAnsi="Wingdings" w:cs="Wingdings" w:hint="default"/>
      </w:rPr>
    </w:lvl>
  </w:abstractNum>
  <w:abstractNum w:abstractNumId="4">
    <w:lvl w:ilvl="0">
      <w:numFmt w:val="bullet"/>
      <w:lvlText w:val="-"/>
      <w:lvlJc w:val="left"/>
      <w:pPr>
        <w:tabs>
          <w:tab w:val="num" w:pos="0"/>
        </w:tabs>
        <w:ind w:left="520" w:hanging="360"/>
      </w:pPr>
      <w:rPr>
        <w:rFonts w:ascii="Calibri" w:hAnsi="Calibri" w:cs="Calibri" w:hint="default"/>
        <w:rFonts w:eastAsiaTheme="minorHAnsi"/>
      </w:rPr>
    </w:lvl>
    <w:lvl w:ilvl="1">
      <w:start w:val="1"/>
      <w:numFmt w:val="bullet"/>
      <w:lvlText w:val="o"/>
      <w:lvlJc w:val="left"/>
      <w:pPr>
        <w:tabs>
          <w:tab w:val="num" w:pos="0"/>
        </w:tabs>
        <w:ind w:left="1240" w:hanging="360"/>
      </w:pPr>
      <w:rPr>
        <w:rFonts w:ascii="Courier New" w:hAnsi="Courier New" w:cs="Courier New" w:hint="default"/>
      </w:rPr>
    </w:lvl>
    <w:lvl w:ilvl="2">
      <w:start w:val="1"/>
      <w:numFmt w:val="bullet"/>
      <w:lvlText w:val=""/>
      <w:lvlJc w:val="left"/>
      <w:pPr>
        <w:tabs>
          <w:tab w:val="num" w:pos="0"/>
        </w:tabs>
        <w:ind w:left="1960" w:hanging="360"/>
      </w:pPr>
      <w:rPr>
        <w:rFonts w:ascii="Wingdings" w:hAnsi="Wingdings" w:cs="Wingdings" w:hint="default"/>
      </w:rPr>
    </w:lvl>
    <w:lvl w:ilvl="3">
      <w:start w:val="1"/>
      <w:numFmt w:val="bullet"/>
      <w:lvlText w:val=""/>
      <w:lvlJc w:val="left"/>
      <w:pPr>
        <w:tabs>
          <w:tab w:val="num" w:pos="0"/>
        </w:tabs>
        <w:ind w:left="2680" w:hanging="360"/>
      </w:pPr>
      <w:rPr>
        <w:rFonts w:ascii="Symbol" w:hAnsi="Symbol" w:cs="Symbol" w:hint="default"/>
      </w:rPr>
    </w:lvl>
    <w:lvl w:ilvl="4">
      <w:start w:val="1"/>
      <w:numFmt w:val="bullet"/>
      <w:lvlText w:val="o"/>
      <w:lvlJc w:val="left"/>
      <w:pPr>
        <w:tabs>
          <w:tab w:val="num" w:pos="0"/>
        </w:tabs>
        <w:ind w:left="3400" w:hanging="360"/>
      </w:pPr>
      <w:rPr>
        <w:rFonts w:ascii="Courier New" w:hAnsi="Courier New" w:cs="Courier New" w:hint="default"/>
      </w:rPr>
    </w:lvl>
    <w:lvl w:ilvl="5">
      <w:start w:val="1"/>
      <w:numFmt w:val="bullet"/>
      <w:lvlText w:val=""/>
      <w:lvlJc w:val="left"/>
      <w:pPr>
        <w:tabs>
          <w:tab w:val="num" w:pos="0"/>
        </w:tabs>
        <w:ind w:left="4120" w:hanging="360"/>
      </w:pPr>
      <w:rPr>
        <w:rFonts w:ascii="Wingdings" w:hAnsi="Wingdings" w:cs="Wingdings" w:hint="default"/>
      </w:rPr>
    </w:lvl>
    <w:lvl w:ilvl="6">
      <w:start w:val="1"/>
      <w:numFmt w:val="bullet"/>
      <w:lvlText w:val=""/>
      <w:lvlJc w:val="left"/>
      <w:pPr>
        <w:tabs>
          <w:tab w:val="num" w:pos="0"/>
        </w:tabs>
        <w:ind w:left="4840" w:hanging="360"/>
      </w:pPr>
      <w:rPr>
        <w:rFonts w:ascii="Symbol" w:hAnsi="Symbol" w:cs="Symbol" w:hint="default"/>
      </w:rPr>
    </w:lvl>
    <w:lvl w:ilvl="7">
      <w:start w:val="1"/>
      <w:numFmt w:val="bullet"/>
      <w:lvlText w:val="o"/>
      <w:lvlJc w:val="left"/>
      <w:pPr>
        <w:tabs>
          <w:tab w:val="num" w:pos="0"/>
        </w:tabs>
        <w:ind w:left="5560" w:hanging="360"/>
      </w:pPr>
      <w:rPr>
        <w:rFonts w:ascii="Courier New" w:hAnsi="Courier New" w:cs="Courier New" w:hint="default"/>
      </w:rPr>
    </w:lvl>
    <w:lvl w:ilvl="8">
      <w:start w:val="1"/>
      <w:numFmt w:val="bullet"/>
      <w:lvlText w:val=""/>
      <w:lvlJc w:val="left"/>
      <w:pPr>
        <w:tabs>
          <w:tab w:val="num" w:pos="0"/>
        </w:tabs>
        <w:ind w:left="6280" w:hanging="360"/>
      </w:pPr>
      <w:rPr>
        <w:rFonts w:ascii="Wingdings" w:hAnsi="Wingdings" w:cs="Wingdings" w:hint="default"/>
      </w:rPr>
    </w:lvl>
  </w:abstractNum>
  <w:abstractNum w:abstractNumId="5">
    <w:lvl w:ilvl="0">
      <w:numFmt w:val="bullet"/>
      <w:lvlText w:val="-"/>
      <w:lvlJc w:val="left"/>
      <w:pPr>
        <w:tabs>
          <w:tab w:val="num" w:pos="0"/>
        </w:tabs>
        <w:ind w:left="520" w:hanging="360"/>
      </w:pPr>
      <w:rPr>
        <w:rFonts w:ascii="Calibri" w:hAnsi="Calibri" w:cs="Calibri" w:hint="default"/>
        <w:rFonts w:eastAsiaTheme="minorHAnsi"/>
      </w:rPr>
    </w:lvl>
    <w:lvl w:ilvl="1">
      <w:start w:val="1"/>
      <w:numFmt w:val="bullet"/>
      <w:lvlText w:val="o"/>
      <w:lvlJc w:val="left"/>
      <w:pPr>
        <w:tabs>
          <w:tab w:val="num" w:pos="0"/>
        </w:tabs>
        <w:ind w:left="1240" w:hanging="360"/>
      </w:pPr>
      <w:rPr>
        <w:rFonts w:ascii="Courier New" w:hAnsi="Courier New" w:cs="Courier New" w:hint="default"/>
      </w:rPr>
    </w:lvl>
    <w:lvl w:ilvl="2">
      <w:start w:val="1"/>
      <w:numFmt w:val="bullet"/>
      <w:lvlText w:val=""/>
      <w:lvlJc w:val="left"/>
      <w:pPr>
        <w:tabs>
          <w:tab w:val="num" w:pos="0"/>
        </w:tabs>
        <w:ind w:left="1960" w:hanging="360"/>
      </w:pPr>
      <w:rPr>
        <w:rFonts w:ascii="Wingdings" w:hAnsi="Wingdings" w:cs="Wingdings" w:hint="default"/>
      </w:rPr>
    </w:lvl>
    <w:lvl w:ilvl="3">
      <w:start w:val="1"/>
      <w:numFmt w:val="bullet"/>
      <w:lvlText w:val=""/>
      <w:lvlJc w:val="left"/>
      <w:pPr>
        <w:tabs>
          <w:tab w:val="num" w:pos="0"/>
        </w:tabs>
        <w:ind w:left="2680" w:hanging="360"/>
      </w:pPr>
      <w:rPr>
        <w:rFonts w:ascii="Symbol" w:hAnsi="Symbol" w:cs="Symbol" w:hint="default"/>
      </w:rPr>
    </w:lvl>
    <w:lvl w:ilvl="4">
      <w:start w:val="1"/>
      <w:numFmt w:val="bullet"/>
      <w:lvlText w:val="o"/>
      <w:lvlJc w:val="left"/>
      <w:pPr>
        <w:tabs>
          <w:tab w:val="num" w:pos="0"/>
        </w:tabs>
        <w:ind w:left="3400" w:hanging="360"/>
      </w:pPr>
      <w:rPr>
        <w:rFonts w:ascii="Courier New" w:hAnsi="Courier New" w:cs="Courier New" w:hint="default"/>
      </w:rPr>
    </w:lvl>
    <w:lvl w:ilvl="5">
      <w:start w:val="1"/>
      <w:numFmt w:val="bullet"/>
      <w:lvlText w:val=""/>
      <w:lvlJc w:val="left"/>
      <w:pPr>
        <w:tabs>
          <w:tab w:val="num" w:pos="0"/>
        </w:tabs>
        <w:ind w:left="4120" w:hanging="360"/>
      </w:pPr>
      <w:rPr>
        <w:rFonts w:ascii="Wingdings" w:hAnsi="Wingdings" w:cs="Wingdings" w:hint="default"/>
      </w:rPr>
    </w:lvl>
    <w:lvl w:ilvl="6">
      <w:start w:val="1"/>
      <w:numFmt w:val="bullet"/>
      <w:lvlText w:val=""/>
      <w:lvlJc w:val="left"/>
      <w:pPr>
        <w:tabs>
          <w:tab w:val="num" w:pos="0"/>
        </w:tabs>
        <w:ind w:left="4840" w:hanging="360"/>
      </w:pPr>
      <w:rPr>
        <w:rFonts w:ascii="Symbol" w:hAnsi="Symbol" w:cs="Symbol" w:hint="default"/>
      </w:rPr>
    </w:lvl>
    <w:lvl w:ilvl="7">
      <w:start w:val="1"/>
      <w:numFmt w:val="bullet"/>
      <w:lvlText w:val="o"/>
      <w:lvlJc w:val="left"/>
      <w:pPr>
        <w:tabs>
          <w:tab w:val="num" w:pos="0"/>
        </w:tabs>
        <w:ind w:left="5560" w:hanging="360"/>
      </w:pPr>
      <w:rPr>
        <w:rFonts w:ascii="Courier New" w:hAnsi="Courier New" w:cs="Courier New" w:hint="default"/>
      </w:rPr>
    </w:lvl>
    <w:lvl w:ilvl="8">
      <w:start w:val="1"/>
      <w:numFmt w:val="bullet"/>
      <w:lvlText w:val=""/>
      <w:lvlJc w:val="left"/>
      <w:pPr>
        <w:tabs>
          <w:tab w:val="num" w:pos="0"/>
        </w:tabs>
        <w:ind w:left="6280" w:hanging="360"/>
      </w:pPr>
      <w:rPr>
        <w:rFonts w:ascii="Wingdings" w:hAnsi="Wingdings" w:cs="Wingdings" w:hint="default"/>
      </w:rPr>
    </w:lvl>
  </w:abstractNum>
  <w:abstractNum w:abstractNumId="6">
    <w:lvl w:ilvl="0">
      <w:numFmt w:val="bullet"/>
      <w:lvlText w:val="-"/>
      <w:lvlJc w:val="left"/>
      <w:pPr>
        <w:tabs>
          <w:tab w:val="num" w:pos="0"/>
        </w:tabs>
        <w:ind w:left="520" w:hanging="360"/>
      </w:pPr>
      <w:rPr>
        <w:rFonts w:ascii="Calibri" w:hAnsi="Calibri" w:cs="Calibri" w:hint="default"/>
        <w:rFonts w:eastAsiaTheme="minorHAnsi"/>
      </w:rPr>
    </w:lvl>
    <w:lvl w:ilvl="1">
      <w:start w:val="1"/>
      <w:numFmt w:val="bullet"/>
      <w:lvlText w:val="o"/>
      <w:lvlJc w:val="left"/>
      <w:pPr>
        <w:tabs>
          <w:tab w:val="num" w:pos="0"/>
        </w:tabs>
        <w:ind w:left="1240" w:hanging="360"/>
      </w:pPr>
      <w:rPr>
        <w:rFonts w:ascii="Courier New" w:hAnsi="Courier New" w:cs="Courier New" w:hint="default"/>
      </w:rPr>
    </w:lvl>
    <w:lvl w:ilvl="2">
      <w:start w:val="1"/>
      <w:numFmt w:val="bullet"/>
      <w:lvlText w:val=""/>
      <w:lvlJc w:val="left"/>
      <w:pPr>
        <w:tabs>
          <w:tab w:val="num" w:pos="0"/>
        </w:tabs>
        <w:ind w:left="1960" w:hanging="360"/>
      </w:pPr>
      <w:rPr>
        <w:rFonts w:ascii="Wingdings" w:hAnsi="Wingdings" w:cs="Wingdings" w:hint="default"/>
      </w:rPr>
    </w:lvl>
    <w:lvl w:ilvl="3">
      <w:start w:val="1"/>
      <w:numFmt w:val="bullet"/>
      <w:lvlText w:val=""/>
      <w:lvlJc w:val="left"/>
      <w:pPr>
        <w:tabs>
          <w:tab w:val="num" w:pos="0"/>
        </w:tabs>
        <w:ind w:left="2680" w:hanging="360"/>
      </w:pPr>
      <w:rPr>
        <w:rFonts w:ascii="Symbol" w:hAnsi="Symbol" w:cs="Symbol" w:hint="default"/>
      </w:rPr>
    </w:lvl>
    <w:lvl w:ilvl="4">
      <w:start w:val="1"/>
      <w:numFmt w:val="bullet"/>
      <w:lvlText w:val="o"/>
      <w:lvlJc w:val="left"/>
      <w:pPr>
        <w:tabs>
          <w:tab w:val="num" w:pos="0"/>
        </w:tabs>
        <w:ind w:left="3400" w:hanging="360"/>
      </w:pPr>
      <w:rPr>
        <w:rFonts w:ascii="Courier New" w:hAnsi="Courier New" w:cs="Courier New" w:hint="default"/>
      </w:rPr>
    </w:lvl>
    <w:lvl w:ilvl="5">
      <w:start w:val="1"/>
      <w:numFmt w:val="bullet"/>
      <w:lvlText w:val=""/>
      <w:lvlJc w:val="left"/>
      <w:pPr>
        <w:tabs>
          <w:tab w:val="num" w:pos="0"/>
        </w:tabs>
        <w:ind w:left="4120" w:hanging="360"/>
      </w:pPr>
      <w:rPr>
        <w:rFonts w:ascii="Wingdings" w:hAnsi="Wingdings" w:cs="Wingdings" w:hint="default"/>
      </w:rPr>
    </w:lvl>
    <w:lvl w:ilvl="6">
      <w:start w:val="1"/>
      <w:numFmt w:val="bullet"/>
      <w:lvlText w:val=""/>
      <w:lvlJc w:val="left"/>
      <w:pPr>
        <w:tabs>
          <w:tab w:val="num" w:pos="0"/>
        </w:tabs>
        <w:ind w:left="4840" w:hanging="360"/>
      </w:pPr>
      <w:rPr>
        <w:rFonts w:ascii="Symbol" w:hAnsi="Symbol" w:cs="Symbol" w:hint="default"/>
      </w:rPr>
    </w:lvl>
    <w:lvl w:ilvl="7">
      <w:start w:val="1"/>
      <w:numFmt w:val="bullet"/>
      <w:lvlText w:val="o"/>
      <w:lvlJc w:val="left"/>
      <w:pPr>
        <w:tabs>
          <w:tab w:val="num" w:pos="0"/>
        </w:tabs>
        <w:ind w:left="5560" w:hanging="360"/>
      </w:pPr>
      <w:rPr>
        <w:rFonts w:ascii="Courier New" w:hAnsi="Courier New" w:cs="Courier New" w:hint="default"/>
      </w:rPr>
    </w:lvl>
    <w:lvl w:ilvl="8">
      <w:start w:val="1"/>
      <w:numFmt w:val="bullet"/>
      <w:lvlText w:val=""/>
      <w:lvlJc w:val="left"/>
      <w:pPr>
        <w:tabs>
          <w:tab w:val="num" w:pos="0"/>
        </w:tabs>
        <w:ind w:left="6280" w:hanging="360"/>
      </w:pPr>
      <w:rPr>
        <w:rFonts w:ascii="Wingdings" w:hAnsi="Wingdings" w:cs="Wingdings" w:hint="default"/>
      </w:rPr>
    </w:lvl>
  </w:abstractNum>
  <w:abstractNum w:abstractNumId="7">
    <w:lvl w:ilvl="0">
      <w:numFmt w:val="bullet"/>
      <w:lvlText w:val="-"/>
      <w:lvlJc w:val="left"/>
      <w:pPr>
        <w:tabs>
          <w:tab w:val="num" w:pos="0"/>
        </w:tabs>
        <w:ind w:left="520" w:hanging="360"/>
      </w:pPr>
      <w:rPr>
        <w:rFonts w:ascii="Calibri" w:hAnsi="Calibri" w:cs="Calibri" w:hint="default"/>
        <w:rFonts w:eastAsiaTheme="minorHAnsi"/>
      </w:rPr>
    </w:lvl>
    <w:lvl w:ilvl="1">
      <w:start w:val="1"/>
      <w:numFmt w:val="bullet"/>
      <w:lvlText w:val="o"/>
      <w:lvlJc w:val="left"/>
      <w:pPr>
        <w:tabs>
          <w:tab w:val="num" w:pos="0"/>
        </w:tabs>
        <w:ind w:left="1240" w:hanging="360"/>
      </w:pPr>
      <w:rPr>
        <w:rFonts w:ascii="Courier New" w:hAnsi="Courier New" w:cs="Courier New" w:hint="default"/>
      </w:rPr>
    </w:lvl>
    <w:lvl w:ilvl="2">
      <w:start w:val="1"/>
      <w:numFmt w:val="bullet"/>
      <w:lvlText w:val=""/>
      <w:lvlJc w:val="left"/>
      <w:pPr>
        <w:tabs>
          <w:tab w:val="num" w:pos="0"/>
        </w:tabs>
        <w:ind w:left="1960" w:hanging="360"/>
      </w:pPr>
      <w:rPr>
        <w:rFonts w:ascii="Wingdings" w:hAnsi="Wingdings" w:cs="Wingdings" w:hint="default"/>
      </w:rPr>
    </w:lvl>
    <w:lvl w:ilvl="3">
      <w:start w:val="1"/>
      <w:numFmt w:val="bullet"/>
      <w:lvlText w:val=""/>
      <w:lvlJc w:val="left"/>
      <w:pPr>
        <w:tabs>
          <w:tab w:val="num" w:pos="0"/>
        </w:tabs>
        <w:ind w:left="2680" w:hanging="360"/>
      </w:pPr>
      <w:rPr>
        <w:rFonts w:ascii="Symbol" w:hAnsi="Symbol" w:cs="Symbol" w:hint="default"/>
      </w:rPr>
    </w:lvl>
    <w:lvl w:ilvl="4">
      <w:start w:val="1"/>
      <w:numFmt w:val="bullet"/>
      <w:lvlText w:val="o"/>
      <w:lvlJc w:val="left"/>
      <w:pPr>
        <w:tabs>
          <w:tab w:val="num" w:pos="0"/>
        </w:tabs>
        <w:ind w:left="3400" w:hanging="360"/>
      </w:pPr>
      <w:rPr>
        <w:rFonts w:ascii="Courier New" w:hAnsi="Courier New" w:cs="Courier New" w:hint="default"/>
      </w:rPr>
    </w:lvl>
    <w:lvl w:ilvl="5">
      <w:start w:val="1"/>
      <w:numFmt w:val="bullet"/>
      <w:lvlText w:val=""/>
      <w:lvlJc w:val="left"/>
      <w:pPr>
        <w:tabs>
          <w:tab w:val="num" w:pos="0"/>
        </w:tabs>
        <w:ind w:left="4120" w:hanging="360"/>
      </w:pPr>
      <w:rPr>
        <w:rFonts w:ascii="Wingdings" w:hAnsi="Wingdings" w:cs="Wingdings" w:hint="default"/>
      </w:rPr>
    </w:lvl>
    <w:lvl w:ilvl="6">
      <w:start w:val="1"/>
      <w:numFmt w:val="bullet"/>
      <w:lvlText w:val=""/>
      <w:lvlJc w:val="left"/>
      <w:pPr>
        <w:tabs>
          <w:tab w:val="num" w:pos="0"/>
        </w:tabs>
        <w:ind w:left="4840" w:hanging="360"/>
      </w:pPr>
      <w:rPr>
        <w:rFonts w:ascii="Symbol" w:hAnsi="Symbol" w:cs="Symbol" w:hint="default"/>
      </w:rPr>
    </w:lvl>
    <w:lvl w:ilvl="7">
      <w:start w:val="1"/>
      <w:numFmt w:val="bullet"/>
      <w:lvlText w:val="o"/>
      <w:lvlJc w:val="left"/>
      <w:pPr>
        <w:tabs>
          <w:tab w:val="num" w:pos="0"/>
        </w:tabs>
        <w:ind w:left="5560" w:hanging="360"/>
      </w:pPr>
      <w:rPr>
        <w:rFonts w:ascii="Courier New" w:hAnsi="Courier New" w:cs="Courier New" w:hint="default"/>
      </w:rPr>
    </w:lvl>
    <w:lvl w:ilvl="8">
      <w:start w:val="1"/>
      <w:numFmt w:val="bullet"/>
      <w:lvlText w:val=""/>
      <w:lvlJc w:val="left"/>
      <w:pPr>
        <w:tabs>
          <w:tab w:val="num" w:pos="0"/>
        </w:tabs>
        <w:ind w:left="62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LV"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LV" w:eastAsia="en-US" w:bidi="ar-SA"/>
    </w:rPr>
  </w:style>
  <w:style w:type="paragraph" w:styleId="1">
    <w:name w:val="Heading 1"/>
    <w:basedOn w:val="Normal"/>
    <w:next w:val="Normal"/>
    <w:link w:val="Heading1Char"/>
    <w:uiPriority w:val="9"/>
    <w:qFormat/>
    <w:rsid w:val="00211be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211beb"/>
    <w:rPr>
      <w:rFonts w:ascii="Calibri Light" w:hAnsi="Calibri Light" w:eastAsia="" w:cs="" w:asciiTheme="majorHAnsi" w:cstheme="majorBidi" w:eastAsiaTheme="majorEastAsia" w:hAnsiTheme="majorHAnsi"/>
      <w:color w:val="2F5496" w:themeColor="accent1" w:themeShade="bf"/>
      <w:sz w:val="32"/>
      <w:szCs w:val="32"/>
    </w:rPr>
  </w:style>
  <w:style w:type="character" w:styleId="BalloonTextChar" w:customStyle="1">
    <w:name w:val="Balloon Text Char"/>
    <w:basedOn w:val="DefaultParagraphFont"/>
    <w:link w:val="BalloonText"/>
    <w:uiPriority w:val="99"/>
    <w:semiHidden/>
    <w:qFormat/>
    <w:rsid w:val="005d4e2d"/>
    <w:rPr>
      <w:rFonts w:ascii="Times New Roman" w:hAnsi="Times New Roman"/>
      <w:sz w:val="18"/>
      <w:szCs w:val="18"/>
    </w:rPr>
  </w:style>
  <w:style w:type="character" w:styleId="Style13">
    <w:name w:val="Hyperlink"/>
    <w:basedOn w:val="DefaultParagraphFont"/>
    <w:uiPriority w:val="99"/>
    <w:unhideWhenUsed/>
    <w:rsid w:val="001111fe"/>
    <w:rPr>
      <w:color w:val="0563C1" w:themeColor="hyperlink"/>
      <w:u w:val="single"/>
    </w:rPr>
  </w:style>
  <w:style w:type="character" w:styleId="UnresolvedMention">
    <w:name w:val="Unresolved Mention"/>
    <w:basedOn w:val="DefaultParagraphFont"/>
    <w:uiPriority w:val="99"/>
    <w:semiHidden/>
    <w:unhideWhenUsed/>
    <w:qFormat/>
    <w:rsid w:val="001111fe"/>
    <w:rPr>
      <w:color w:val="605E5C"/>
      <w:shd w:fill="E1DFDD" w:val="clear"/>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Покажчик"/>
    <w:basedOn w:val="Normal"/>
    <w:qFormat/>
    <w:pPr>
      <w:suppressLineNumbers/>
    </w:pPr>
    <w:rPr>
      <w:rFonts w:cs="Lucida Sans"/>
      <w:lang w:val="zxx" w:eastAsia="zxx" w:bidi="zxx"/>
    </w:rPr>
  </w:style>
  <w:style w:type="paragraph" w:styleId="ListParagraph">
    <w:name w:val="List Paragraph"/>
    <w:basedOn w:val="Normal"/>
    <w:uiPriority w:val="34"/>
    <w:qFormat/>
    <w:rsid w:val="00d4184e"/>
    <w:pPr>
      <w:spacing w:before="0" w:after="0"/>
      <w:ind w:left="720" w:hanging="0"/>
      <w:contextualSpacing/>
    </w:pPr>
    <w:rPr/>
  </w:style>
  <w:style w:type="paragraph" w:styleId="BalloonText">
    <w:name w:val="Balloon Text"/>
    <w:basedOn w:val="Normal"/>
    <w:link w:val="BalloonTextChar"/>
    <w:uiPriority w:val="99"/>
    <w:semiHidden/>
    <w:unhideWhenUsed/>
    <w:qFormat/>
    <w:rsid w:val="005d4e2d"/>
    <w:pPr/>
    <w:rPr>
      <w:rFonts w:ascii="Times New Roman" w:hAnsi="Times New Roman"/>
      <w:sz w:val="18"/>
      <w:szCs w:val="18"/>
    </w:rPr>
  </w:style>
  <w:style w:type="paragraph" w:styleId="NormalWeb">
    <w:name w:val="Normal (Web)"/>
    <w:basedOn w:val="Normal"/>
    <w:uiPriority w:val="99"/>
    <w:semiHidden/>
    <w:unhideWhenUsed/>
    <w:qFormat/>
    <w:rsid w:val="00ce3dca"/>
    <w:pPr>
      <w:spacing w:beforeAutospacing="1" w:afterAutospacing="1"/>
    </w:pPr>
    <w:rPr>
      <w:rFonts w:ascii="Times New Roman" w:hAnsi="Times New Roman" w:eastAsia="Times New Roman" w:cs="Times New Roman"/>
      <w:lang w:eastAsia="en-GB"/>
    </w:rPr>
  </w:style>
  <w:style w:type="paragraph" w:styleId="Style19">
    <w:name w:val="Вміст таблиці"/>
    <w:basedOn w:val="Normal"/>
    <w:qFormat/>
    <w:pPr>
      <w:widowControl w:val="false"/>
      <w:suppressLineNumbers/>
    </w:pPr>
    <w:rPr/>
  </w:style>
  <w:style w:type="paragraph" w:styleId="Style20">
    <w:name w:val="Заголовок таблиці"/>
    <w:basedOn w:val="Style19"/>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Analyticatable">
    <w:name w:val="Analytica table"/>
    <w:basedOn w:val="TableNormal"/>
    <w:uiPriority w:val="99"/>
    <w:rsid w:val="004d62ea"/>
    <w:rPr>
      <w:lang w:val="en" w:eastAsia="en-GB"/>
      <w:sz w:val="22"/>
      <w:szCs w:val="22"/>
    </w:rPr>
    <w:tblPr>
      <w:tblStyleRowBandSize w:val="1"/>
    </w:tblPr>
    <w:tblStylePr w:type="firstRow">
      <w:tblPr/>
      <w:tcPr>
        <w:tc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cBorders>
        <w:shd w:val="clear" w:color="auto" w:fill="C00000"/>
      </w:tcPr>
    </w:tblStylePr>
    <w:tblStylePr w:type="band2Horz">
      <w:tblPr/>
      <w:tcPr>
        <w:shd w:val="clear" w:color="auto" w:fill="F2F2F2" w:themeFill="background1" w:themeFillShade="f2"/>
      </w:tcPr>
    </w:tblStylePr>
  </w:style>
  <w:style w:type="table" w:styleId="TableGrid">
    <w:name w:val="Table Grid"/>
    <w:basedOn w:val="TableNormal"/>
    <w:uiPriority w:val="39"/>
    <w:rsid w:val="007e70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LibreOffice/7.4.2.3$Windows_X86_64 LibreOffice_project/382eef1f22670f7f4118c8c2dd222ec7ad009daf</Application>
  <AppVersion>15.0000</AppVersion>
  <Pages>13</Pages>
  <Words>2220</Words>
  <Characters>13050</Characters>
  <CharactersWithSpaces>15206</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2023-06-16T08:17:00Z</dcterms:created>
  <dc:creator>Janis Pekalis</dc:creator>
  <dc:description/>
  <dc:language>en-US</dc:language>
  <cp:lastModifiedBy/>
  <dcterms:modified xsi:type="dcterms:W3CDTF">2023-06-17T10:03:53Z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