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5CF58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bottom w:val="single" w:color="auto" w:sz="4" w:space="0"/>
            </w:tcBorders>
            <w:shd w:val="clear" w:color="auto" w:fill="D9D9D9"/>
          </w:tcPr>
          <w:p w14:paraId="7313BC2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1.</w:t>
            </w:r>
            <w:r>
              <w:rPr>
                <w:rFonts w:hint="eastAsia" w:hAnsi="Arial"/>
                <w:b/>
                <w:sz w:val="24"/>
              </w:rPr>
              <w:t>物料及供应商标识</w:t>
            </w:r>
          </w:p>
        </w:tc>
      </w:tr>
      <w:tr w14:paraId="78CB78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1" w:hRule="atLeast"/>
        </w:trPr>
        <w:tc>
          <w:tcPr>
            <w:tcW w:w="3519" w:type="dxa"/>
            <w:tcBorders>
              <w:bottom w:val="dotted" w:color="auto" w:sz="4" w:space="0"/>
              <w:right w:val="dotted" w:color="auto" w:sz="4" w:space="0"/>
            </w:tcBorders>
            <w:vAlign w:val="center"/>
          </w:tcPr>
          <w:p w14:paraId="521EB05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产品名称：</w:t>
            </w:r>
          </w:p>
        </w:tc>
        <w:tc>
          <w:tcPr>
            <w:tcW w:w="6262" w:type="dxa"/>
            <w:tcBorders>
              <w:left w:val="dotted" w:color="auto" w:sz="4" w:space="0"/>
              <w:bottom w:val="dotted" w:color="auto" w:sz="4" w:space="0"/>
            </w:tcBorders>
            <w:vAlign w:val="center"/>
          </w:tcPr>
          <w:p w14:paraId="1D7000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</w:p>
        </w:tc>
      </w:tr>
      <w:tr w14:paraId="15771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0F287DF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中文名称：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EE796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此处填写产品中文名称+型号</w:t>
            </w:r>
          </w:p>
        </w:tc>
      </w:tr>
      <w:tr w14:paraId="6D1B49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017740E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化学品分类：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E7129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sz w:val="24"/>
                <w:lang w:val="en-US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此处填写化学品分类名称</w:t>
            </w:r>
          </w:p>
        </w:tc>
      </w:tr>
      <w:tr w14:paraId="2204C2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E4688D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产品使用建议和使用限制</w:t>
            </w:r>
            <w:r>
              <w:rPr>
                <w:rFonts w:hint="eastAsia" w:hAnsi="Arial"/>
                <w:b/>
                <w:sz w:val="24"/>
                <w:lang w:eastAsia="zh-CN"/>
              </w:rPr>
              <w:t>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4EE8B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此处填写使用建议和使用限制</w:t>
            </w:r>
          </w:p>
        </w:tc>
      </w:tr>
      <w:tr w14:paraId="46B4D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25BC1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供应商信息：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A4A00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</w:p>
        </w:tc>
      </w:tr>
      <w:tr w14:paraId="0BA7DD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6A975A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8" w:leftChars="21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供应商名称：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B02DD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宋体"/>
                <w:sz w:val="24"/>
              </w:rPr>
            </w:pPr>
            <w:r>
              <w:rPr>
                <w:rFonts w:hint="eastAsia" w:cs="Arial"/>
                <w:kern w:val="0"/>
                <w:sz w:val="24"/>
              </w:rPr>
              <w:t>广州冠志新材料科技有限公司</w:t>
            </w:r>
          </w:p>
        </w:tc>
      </w:tr>
      <w:tr w14:paraId="72A8A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66903B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firstLine="2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供应商地址：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BFC355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地址：广州市萝岗区科学城掬泉路3号广州国际企业孵化器A区1106室</w:t>
            </w:r>
          </w:p>
        </w:tc>
      </w:tr>
      <w:tr w14:paraId="29EEE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2D9666C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电话：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577C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86-20-82567990</w:t>
            </w:r>
          </w:p>
        </w:tc>
      </w:tr>
      <w:tr w14:paraId="5D5736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50ACE571">
            <w:pPr>
              <w:keepNext w:val="0"/>
              <w:keepLines w:val="0"/>
              <w:pageBreakBefore w:val="0"/>
              <w:widowControl w:val="0"/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6" w:leftChars="217" w:right="482" w:firstLine="2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传真：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498C980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sz w:val="24"/>
              </w:rPr>
              <w:t>86-20-32214789</w:t>
            </w:r>
          </w:p>
        </w:tc>
      </w:tr>
    </w:tbl>
    <w:p w14:paraId="5C83CB76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8F537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A47552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2.危险性概述</w:t>
            </w:r>
          </w:p>
        </w:tc>
      </w:tr>
      <w:tr w14:paraId="6D7029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0B9FE21E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.1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bCs/>
                <w:kern w:val="0"/>
                <w:sz w:val="24"/>
                <w:lang w:val="en-US" w:eastAsia="zh-CN"/>
              </w:rPr>
              <w:t>紧急情况概述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2BD6BEE">
            <w:pPr>
              <w:keepNext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8CFE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D7E670F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60" w:leftChars="0" w:hanging="660" w:firstLineChars="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GHS危险性类别：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E05F774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/>
                <w:sz w:val="24"/>
              </w:rPr>
              <w:t>易燃液体，类别4（H227）</w:t>
            </w:r>
          </w:p>
        </w:tc>
      </w:tr>
      <w:tr w14:paraId="1BAEF0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5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3D3BD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GHS标签要素：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03A673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432D8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B1CC2D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firstLine="422" w:firstLineChars="200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GHS象形图：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98B97E9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b w:val="0"/>
                <w:bCs/>
                <w:sz w:val="24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lang w:val="en-US" w:eastAsia="zh-CN"/>
              </w:rPr>
              <w:t>无</w:t>
            </w:r>
          </w:p>
        </w:tc>
      </w:tr>
      <w:tr w14:paraId="0D72A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C5F57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信号词：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8351877">
            <w:pPr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after="0" w:line="24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警告</w:t>
            </w:r>
          </w:p>
        </w:tc>
      </w:tr>
      <w:tr w14:paraId="40FDA4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9F7D7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Arial"/>
                <w:b/>
                <w:bCs/>
                <w:kern w:val="0"/>
                <w:sz w:val="24"/>
              </w:rPr>
            </w:pP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bCs/>
                <w:kern w:val="0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 w:hAnsi="Arial" w:cs="Arial"/>
                <w:b/>
                <w:bCs/>
                <w:kern w:val="0"/>
                <w:sz w:val="24"/>
              </w:rPr>
              <w:t>危险性说明：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386FB9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H316造成轻微皮肤刺激。</w:t>
            </w:r>
          </w:p>
        </w:tc>
      </w:tr>
      <w:tr w14:paraId="76C1C0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834F1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</w:t>
            </w:r>
            <w:r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.</w:t>
            </w: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6  </w:t>
            </w:r>
            <w:r>
              <w:rPr>
                <w:rFonts w:hint="eastAsia" w:hAnsi="Arial"/>
                <w:b/>
                <w:sz w:val="24"/>
              </w:rPr>
              <w:t>防范说明：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623E132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预防措施：</w:t>
            </w:r>
          </w:p>
          <w:p w14:paraId="400FB01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P210 远离热源、热表面、火花、明火和其他点火源。禁止吸烟。</w:t>
            </w:r>
          </w:p>
        </w:tc>
      </w:tr>
      <w:tr w14:paraId="3109C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C1E34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>2.7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 物理和化学</w:t>
            </w:r>
            <w:r>
              <w:rPr>
                <w:rFonts w:hint="eastAsia" w:hAnsi="Arial"/>
                <w:b/>
                <w:sz w:val="24"/>
              </w:rPr>
              <w:t>危险：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5696881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喷涂使用时可能形成雾滴或气溶胶，应避免吸入。</w:t>
            </w:r>
          </w:p>
        </w:tc>
      </w:tr>
      <w:tr w14:paraId="74281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2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5CE30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健康危害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360AE83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吸入：</w:t>
            </w:r>
          </w:p>
        </w:tc>
      </w:tr>
      <w:tr w14:paraId="5481F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497D4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F3DC590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食入：</w:t>
            </w:r>
          </w:p>
        </w:tc>
      </w:tr>
      <w:tr w14:paraId="4F5F82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4D2E0B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16CCFF7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皮肤：</w:t>
            </w:r>
          </w:p>
        </w:tc>
      </w:tr>
      <w:tr w14:paraId="767136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A3CE7B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AD1F4F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眼睛：</w:t>
            </w:r>
          </w:p>
        </w:tc>
      </w:tr>
      <w:tr w14:paraId="2FBC6A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9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9569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267162C">
            <w:pPr>
              <w:keepNext w:val="0"/>
              <w:keepLines w:val="0"/>
              <w:pageBreakBefore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症状和体征：</w:t>
            </w:r>
          </w:p>
        </w:tc>
      </w:tr>
      <w:tr w14:paraId="01953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544EEFC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default" w:ascii="Times New Roman" w:hAnsi="Arial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2.9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环境危害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362143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如：对水生生物有毒。</w:t>
            </w:r>
            <w:r>
              <w:rPr>
                <w:rFonts w:hint="default" w:hAnsi="Arial" w:cs="Arial"/>
                <w:kern w:val="0"/>
                <w:sz w:val="24"/>
                <w:lang w:val="en-US" w:eastAsia="zh-CN"/>
              </w:rPr>
              <w:t>可能对水生环境造成长期有害影响</w:t>
            </w:r>
          </w:p>
        </w:tc>
      </w:tr>
      <w:tr w14:paraId="7E97D5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FA6DA8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0"/>
                <w:tab w:val="left" w:pos="459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7" w:leftChars="0" w:hanging="457" w:hangingChars="217"/>
              <w:jc w:val="left"/>
              <w:textAlignment w:val="auto"/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2.10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其他危害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0C8A0910">
            <w:pPr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</w:t>
            </w:r>
          </w:p>
        </w:tc>
      </w:tr>
    </w:tbl>
    <w:p w14:paraId="275245E3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3153"/>
        <w:gridCol w:w="3109"/>
      </w:tblGrid>
      <w:tr w14:paraId="4941A5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3"/>
            <w:tcBorders>
              <w:bottom w:val="dotted" w:color="auto" w:sz="4" w:space="0"/>
            </w:tcBorders>
            <w:shd w:val="clear" w:color="auto" w:fill="D9D9D9"/>
          </w:tcPr>
          <w:p w14:paraId="09B5699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3. </w:t>
            </w:r>
            <w:r>
              <w:rPr>
                <w:rFonts w:hint="eastAsia" w:hAnsi="Arial"/>
                <w:b/>
                <w:sz w:val="24"/>
              </w:rPr>
              <w:t>成分</w:t>
            </w:r>
            <w:r>
              <w:rPr>
                <w:b/>
                <w:sz w:val="24"/>
              </w:rPr>
              <w:t>/</w:t>
            </w:r>
            <w:r>
              <w:rPr>
                <w:rFonts w:hint="eastAsia" w:hAnsi="Arial"/>
                <w:b/>
                <w:sz w:val="24"/>
              </w:rPr>
              <w:t>组成资料</w:t>
            </w:r>
          </w:p>
        </w:tc>
      </w:tr>
      <w:tr w14:paraId="12763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2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7FC97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 w:cs="Arial"/>
                <w:b/>
                <w:bCs/>
                <w:kern w:val="0"/>
                <w:sz w:val="24"/>
              </w:rPr>
              <w:t>产品类型：</w:t>
            </w:r>
          </w:p>
        </w:tc>
        <w:tc>
          <w:tcPr>
            <w:tcW w:w="6262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7AD476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混合物</w:t>
            </w:r>
          </w:p>
        </w:tc>
      </w:tr>
      <w:tr w14:paraId="6B5EB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6E75D6">
            <w:pPr>
              <w:keepNext w:val="0"/>
              <w:keepLines w:val="0"/>
              <w:pageBreakBefore w:val="0"/>
              <w:widowControl w:val="0"/>
              <w:numPr>
                <w:ilvl w:val="1"/>
                <w:numId w:val="1"/>
              </w:numPr>
              <w:tabs>
                <w:tab w:val="clear" w:pos="540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59" w:right="34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成分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4C59190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153EEF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1AEA7C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15C41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34"/>
              <w:jc w:val="left"/>
              <w:textAlignment w:val="auto"/>
              <w:rPr>
                <w:b/>
                <w:sz w:val="24"/>
                <w:u w:val="single"/>
              </w:rPr>
            </w:pPr>
            <w:r>
              <w:rPr>
                <w:rFonts w:hint="eastAsia"/>
                <w:b/>
                <w:sz w:val="24"/>
                <w:u w:val="single"/>
              </w:rPr>
              <w:t>化学品名称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</w:tcPr>
          <w:p w14:paraId="52A8FC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sz w:val="24"/>
                <w:u w:val="single"/>
              </w:rPr>
              <w:t>CAS</w:t>
            </w:r>
            <w:r>
              <w:rPr>
                <w:rFonts w:hint="eastAsia"/>
                <w:sz w:val="24"/>
                <w:u w:val="single"/>
              </w:rPr>
              <w:t>编号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</w:tcPr>
          <w:p w14:paraId="679A073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sz w:val="24"/>
                <w:u w:val="single"/>
              </w:rPr>
            </w:pPr>
            <w:r>
              <w:rPr>
                <w:rFonts w:hint="eastAsia"/>
                <w:sz w:val="24"/>
                <w:u w:val="single"/>
                <w:lang w:val="en-US" w:eastAsia="zh-CN"/>
              </w:rPr>
              <w:t>含量</w:t>
            </w:r>
            <w:r>
              <w:rPr>
                <w:sz w:val="24"/>
                <w:u w:val="single"/>
              </w:rPr>
              <w:t>%</w:t>
            </w:r>
            <w:r>
              <w:rPr>
                <w:rFonts w:hint="eastAsia" w:hAnsi="Arial"/>
                <w:sz w:val="24"/>
                <w:u w:val="single"/>
              </w:rPr>
              <w:t>（</w:t>
            </w:r>
            <w:r>
              <w:rPr>
                <w:sz w:val="24"/>
                <w:u w:val="single"/>
              </w:rPr>
              <w:t>w/w</w:t>
            </w:r>
            <w:r>
              <w:rPr>
                <w:rFonts w:hint="eastAsia" w:hAnsi="Arial"/>
                <w:sz w:val="24"/>
                <w:u w:val="single"/>
              </w:rPr>
              <w:t>）</w:t>
            </w:r>
          </w:p>
        </w:tc>
      </w:tr>
      <w:tr w14:paraId="63E34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81875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成分1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14B4F4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 w:rightChars="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商业机密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1BED96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n</w:t>
            </w:r>
          </w:p>
        </w:tc>
      </w:tr>
      <w:tr w14:paraId="72C913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19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F19B6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b w:val="0"/>
                <w:bCs/>
                <w:kern w:val="2"/>
                <w:sz w:val="24"/>
                <w:szCs w:val="24"/>
                <w:lang w:val="en-US" w:eastAsia="zh-CN" w:bidi="ar-SA"/>
              </w:rPr>
              <w:t>成分2</w:t>
            </w:r>
          </w:p>
        </w:tc>
        <w:tc>
          <w:tcPr>
            <w:tcW w:w="3153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7C31B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7732-18-5</w:t>
            </w:r>
          </w:p>
        </w:tc>
        <w:tc>
          <w:tcPr>
            <w:tcW w:w="3109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1482B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center"/>
              <w:textAlignment w:val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  <w:lang w:val="en-US" w:eastAsia="zh-CN"/>
              </w:rPr>
              <w:t>&gt; 45</w:t>
            </w:r>
          </w:p>
        </w:tc>
      </w:tr>
    </w:tbl>
    <w:p w14:paraId="0E98C8E0">
      <w:pPr>
        <w:spacing w:line="300" w:lineRule="auto"/>
        <w:ind w:right="480"/>
        <w:rPr>
          <w:sz w:val="24"/>
        </w:rPr>
      </w:pPr>
    </w:p>
    <w:tbl>
      <w:tblPr>
        <w:tblStyle w:val="4"/>
        <w:tblW w:w="979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76"/>
      </w:tblGrid>
      <w:tr w14:paraId="7CA96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795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316D4642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4.</w:t>
            </w:r>
            <w:r>
              <w:rPr>
                <w:rFonts w:hint="eastAsia" w:hAnsi="Arial"/>
                <w:b/>
                <w:sz w:val="24"/>
              </w:rPr>
              <w:t>急救措施</w:t>
            </w:r>
          </w:p>
        </w:tc>
      </w:tr>
      <w:tr w14:paraId="79D8A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5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35DEE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一般措施：</w:t>
            </w:r>
          </w:p>
        </w:tc>
        <w:tc>
          <w:tcPr>
            <w:tcW w:w="6276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606199B6">
            <w:pPr>
              <w:keepNext w:val="0"/>
              <w:spacing w:line="300" w:lineRule="auto"/>
              <w:jc w:val="left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立即脱掉所有被污染的衣物。</w:t>
            </w:r>
          </w:p>
        </w:tc>
      </w:tr>
      <w:tr w14:paraId="4381FC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9177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2  </w:t>
            </w:r>
            <w:r>
              <w:rPr>
                <w:rFonts w:hint="eastAsia"/>
                <w:b/>
                <w:sz w:val="24"/>
              </w:rPr>
              <w:t>误服：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FA4C25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若意外吞食，不要催吐，立即就医。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无意识时，不要经口喂食任何食物。</w:t>
            </w:r>
          </w:p>
        </w:tc>
      </w:tr>
      <w:tr w14:paraId="13DA6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8215A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3  </w:t>
            </w:r>
            <w:r>
              <w:rPr>
                <w:rFonts w:hint="eastAsia"/>
                <w:b/>
                <w:sz w:val="24"/>
              </w:rPr>
              <w:t>接触眼睛：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29451E4A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立即翻起上下眼睑用大量缓和流动的水清洗眼睛至少20 分钟。且将头倾斜，避免化学品流入另一只未受污染的眼睛，并立即就医。</w:t>
            </w:r>
          </w:p>
        </w:tc>
      </w:tr>
      <w:tr w14:paraId="3BF0F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46D49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/>
                <w:b/>
                <w:sz w:val="24"/>
              </w:rPr>
              <w:t>接触皮肤：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3C07DAD">
            <w:pPr>
              <w:keepNext w:val="0"/>
              <w:spacing w:line="300" w:lineRule="auto"/>
              <w:jc w:val="left"/>
              <w:rPr>
                <w:rFonts w:hint="default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立即用肥皂和大量的水冲洗。若发生皮肤反应，就医。</w:t>
            </w:r>
          </w:p>
        </w:tc>
      </w:tr>
      <w:tr w14:paraId="79F418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9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55F14B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4.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5  </w:t>
            </w:r>
            <w:r>
              <w:rPr>
                <w:rFonts w:hint="eastAsia"/>
                <w:b/>
                <w:sz w:val="24"/>
              </w:rPr>
              <w:t>吸入：</w:t>
            </w:r>
          </w:p>
        </w:tc>
        <w:tc>
          <w:tcPr>
            <w:tcW w:w="6276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AF80536">
            <w:pPr>
              <w:keepNext w:val="0"/>
              <w:spacing w:line="300" w:lineRule="auto"/>
              <w:jc w:val="left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一旦吸入，如有不适，就医。</w:t>
            </w:r>
          </w:p>
        </w:tc>
      </w:tr>
    </w:tbl>
    <w:p w14:paraId="29F19B8A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78CFA6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486C1B6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5.</w:t>
            </w:r>
            <w:r>
              <w:rPr>
                <w:rFonts w:hint="eastAsia" w:hAnsi="Arial"/>
                <w:b/>
                <w:sz w:val="24"/>
              </w:rPr>
              <w:t>消防措施</w:t>
            </w:r>
          </w:p>
        </w:tc>
      </w:tr>
      <w:tr w14:paraId="59313C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5432E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合适的灭火剂：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035FF3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二氧化碳（</w:t>
            </w:r>
            <w:r>
              <w:rPr>
                <w:sz w:val="24"/>
              </w:rPr>
              <w:t>CO</w:t>
            </w:r>
            <w:r>
              <w:rPr>
                <w:sz w:val="24"/>
                <w:vertAlign w:val="subscript"/>
              </w:rPr>
              <w:t>2</w:t>
            </w:r>
            <w:r>
              <w:rPr>
                <w:rFonts w:hint="eastAsia"/>
                <w:sz w:val="24"/>
              </w:rPr>
              <w:t>），</w:t>
            </w:r>
            <w:r>
              <w:rPr>
                <w:rFonts w:hint="eastAsia"/>
                <w:sz w:val="24"/>
                <w:lang w:val="en-US" w:eastAsia="zh-CN"/>
              </w:rPr>
              <w:t>耐醇</w:t>
            </w:r>
            <w:r>
              <w:rPr>
                <w:rFonts w:hint="eastAsia"/>
                <w:sz w:val="24"/>
              </w:rPr>
              <w:t>泡沫，</w:t>
            </w:r>
            <w:r>
              <w:rPr>
                <w:rFonts w:hint="eastAsia"/>
                <w:sz w:val="24"/>
                <w:lang w:val="en-US" w:eastAsia="zh-CN"/>
              </w:rPr>
              <w:t>化学干粉</w:t>
            </w:r>
            <w:r>
              <w:rPr>
                <w:rFonts w:hint="eastAsia"/>
                <w:sz w:val="24"/>
                <w:lang w:eastAsia="zh-CN"/>
              </w:rPr>
              <w:t>。</w:t>
            </w:r>
            <w:r>
              <w:rPr>
                <w:rFonts w:hint="eastAsia"/>
                <w:sz w:val="24"/>
                <w:lang w:val="en-US" w:eastAsia="zh-CN"/>
              </w:rPr>
              <w:t>大火时应用水喷洒。</w:t>
            </w:r>
          </w:p>
        </w:tc>
      </w:tr>
      <w:tr w14:paraId="54F177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E7DF0FA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不合适的灭火剂：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C3C7C3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</w:rPr>
              <w:t>高流量的水喷射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0DCB57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49E2E1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物质或混合物的特殊危害：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78AA2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/>
                <w:sz w:val="24"/>
              </w:rPr>
              <w:t>燃烧时释放一氧化碳、二氧化碳、氮氧化物</w:t>
            </w:r>
            <w:r>
              <w:rPr>
                <w:rFonts w:hint="eastAsia"/>
                <w:sz w:val="24"/>
                <w:lang w:val="en-US" w:eastAsia="zh-CN"/>
              </w:rPr>
              <w:t>等</w:t>
            </w:r>
            <w:r>
              <w:rPr>
                <w:rFonts w:hint="eastAsia"/>
                <w:sz w:val="24"/>
                <w:lang w:eastAsia="zh-CN"/>
              </w:rPr>
              <w:t>。</w:t>
            </w:r>
          </w:p>
          <w:p w14:paraId="25D17FD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在着火或爆炸情况下，不要吸进烟尘。</w:t>
            </w:r>
          </w:p>
        </w:tc>
      </w:tr>
      <w:tr w14:paraId="04A389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66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DD65C9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5.4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消防预防措施和保护设备：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36625AEA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消防人员必须佩戴自供气式呼吸器。</w:t>
            </w:r>
          </w:p>
          <w:p w14:paraId="2383C72D">
            <w:pPr>
              <w:keepNext w:val="0"/>
              <w:keepLines w:val="0"/>
              <w:pageBreakBefore w:val="0"/>
              <w:widowControl w:val="0"/>
              <w:tabs>
                <w:tab w:val="left" w:pos="-108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</w:rPr>
              <w:t>禁止污染的灭火用水流入土壤，地下水或地表水中。</w:t>
            </w:r>
          </w:p>
        </w:tc>
      </w:tr>
    </w:tbl>
    <w:p w14:paraId="3ED8EA2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10795A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36D9A70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6.</w:t>
            </w:r>
            <w:r>
              <w:rPr>
                <w:rFonts w:hint="eastAsia" w:hAnsi="Arial"/>
                <w:b/>
                <w:sz w:val="24"/>
              </w:rPr>
              <w:t>意外泄漏措施</w:t>
            </w:r>
          </w:p>
        </w:tc>
      </w:tr>
      <w:tr w14:paraId="42D96E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nil"/>
            </w:tcBorders>
            <w:vAlign w:val="center"/>
          </w:tcPr>
          <w:p w14:paraId="5186285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个人预防措施、应急程序：</w:t>
            </w:r>
          </w:p>
        </w:tc>
        <w:tc>
          <w:tcPr>
            <w:tcW w:w="6262" w:type="dxa"/>
            <w:tcBorders>
              <w:top w:val="single" w:color="auto" w:sz="4" w:space="0"/>
              <w:left w:val="nil"/>
              <w:bottom w:val="dotted" w:color="auto" w:sz="4" w:space="0"/>
            </w:tcBorders>
          </w:tcPr>
          <w:p w14:paraId="281DDEE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戴防护设备。确保充分的通风</w:t>
            </w:r>
            <w:r>
              <w:rPr>
                <w:sz w:val="24"/>
              </w:rPr>
              <w:t>/</w:t>
            </w:r>
            <w:r>
              <w:rPr>
                <w:rFonts w:hint="eastAsia"/>
                <w:sz w:val="24"/>
              </w:rPr>
              <w:t>排气。</w:t>
            </w:r>
          </w:p>
          <w:p w14:paraId="756EC0A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令未授权人员离开。</w:t>
            </w:r>
          </w:p>
        </w:tc>
      </w:tr>
      <w:tr w14:paraId="37459C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nil"/>
            </w:tcBorders>
            <w:vAlign w:val="center"/>
          </w:tcPr>
          <w:p w14:paraId="24D74B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 w:cs="Arial"/>
                <w:b/>
                <w:kern w:val="0"/>
                <w:sz w:val="24"/>
              </w:rPr>
              <w:t>环境保护措施：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dotted" w:color="auto" w:sz="4" w:space="0"/>
            </w:tcBorders>
          </w:tcPr>
          <w:p w14:paraId="26E7ACC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禁止排入下水道，废水或土壤中</w:t>
            </w:r>
            <w:r>
              <w:rPr>
                <w:rFonts w:hint="eastAsia"/>
                <w:sz w:val="24"/>
              </w:rPr>
              <w:t>。</w:t>
            </w:r>
          </w:p>
        </w:tc>
      </w:tr>
      <w:tr w14:paraId="418D99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nil"/>
            </w:tcBorders>
            <w:vAlign w:val="center"/>
          </w:tcPr>
          <w:p w14:paraId="76CD2BF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6.3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/>
                <w:b/>
                <w:sz w:val="24"/>
              </w:rPr>
              <w:t>污染物收集和清除的方法：</w:t>
            </w:r>
          </w:p>
        </w:tc>
        <w:tc>
          <w:tcPr>
            <w:tcW w:w="6262" w:type="dxa"/>
            <w:tcBorders>
              <w:top w:val="dotted" w:color="auto" w:sz="4" w:space="0"/>
              <w:left w:val="nil"/>
              <w:bottom w:val="single" w:color="auto" w:sz="4" w:space="0"/>
            </w:tcBorders>
          </w:tcPr>
          <w:p w14:paraId="661ADF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用化学品吸收材料或必要时用干沙收集，并储存于密闭容器中。</w:t>
            </w:r>
          </w:p>
        </w:tc>
      </w:tr>
    </w:tbl>
    <w:p w14:paraId="06C96FEC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6262"/>
      </w:tblGrid>
      <w:tr w14:paraId="2BF60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0BCC04F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7.</w:t>
            </w:r>
            <w:r>
              <w:rPr>
                <w:rFonts w:hint="eastAsia"/>
                <w:b/>
                <w:sz w:val="24"/>
              </w:rPr>
              <w:t>操作和储存</w:t>
            </w:r>
          </w:p>
        </w:tc>
      </w:tr>
      <w:tr w14:paraId="234888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19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07A838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安全操作防范：</w:t>
            </w:r>
          </w:p>
        </w:tc>
        <w:tc>
          <w:tcPr>
            <w:tcW w:w="6262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</w:tcPr>
          <w:p w14:paraId="1EF1C3C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在具有适当排气通风的场所使用。</w:t>
            </w:r>
            <w:r>
              <w:rPr>
                <w:rFonts w:hint="eastAsia" w:hAnsi="Arial" w:cs="Arial"/>
                <w:kern w:val="0"/>
                <w:sz w:val="24"/>
              </w:rPr>
              <w:t>避免与皮肤和眼睛接触。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不要呼吸蒸气或喷雾。远离食物，饮料和烟草，休息前及工作结束及时洗手。更换被污染或浸湿的衣物。</w:t>
            </w:r>
          </w:p>
        </w:tc>
      </w:tr>
      <w:tr w14:paraId="17B212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3519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2E5860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2"/>
              </w:numPr>
              <w:tabs>
                <w:tab w:val="clear" w:pos="540"/>
              </w:tabs>
              <w:kinsoku/>
              <w:wordWrap/>
              <w:overflowPunct/>
              <w:topLinePunct w:val="0"/>
              <w:bidi w:val="0"/>
              <w:snapToGrid/>
              <w:spacing w:line="300" w:lineRule="auto"/>
              <w:ind w:left="459" w:hanging="459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安全储存条件：</w:t>
            </w:r>
          </w:p>
        </w:tc>
        <w:tc>
          <w:tcPr>
            <w:tcW w:w="6262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548EDA89">
            <w:pPr>
              <w:keepNext w:val="0"/>
              <w:keepLines w:val="0"/>
              <w:pageBreakBefore w:val="0"/>
              <w:widowControl w:val="0"/>
              <w:shd w:val="clear" w:color="auto" w:fill="FFFFFF"/>
              <w:kinsoku/>
              <w:wordWrap/>
              <w:overflowPunct/>
              <w:topLinePunct w:val="0"/>
              <w:bidi w:val="0"/>
              <w:snapToGrid/>
              <w:spacing w:line="375" w:lineRule="atLeast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容器保持紧闭，存储在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凉爽</w:t>
            </w:r>
            <w:r>
              <w:rPr>
                <w:rFonts w:hint="eastAsia" w:hAnsi="Arial" w:cs="Arial"/>
                <w:kern w:val="0"/>
                <w:sz w:val="24"/>
              </w:rPr>
              <w:t>通风处。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为保证</w:t>
            </w:r>
            <w:r>
              <w:rPr>
                <w:rFonts w:hint="eastAsia" w:hAnsi="Arial" w:cs="Arial"/>
                <w:kern w:val="0"/>
                <w:sz w:val="24"/>
              </w:rPr>
              <w:t>产品质量，必须遵守我们产品信息表的储存条件。</w:t>
            </w:r>
            <w:r>
              <w:rPr>
                <w:rFonts w:cs="Arial"/>
                <w:kern w:val="0"/>
                <w:sz w:val="24"/>
              </w:rPr>
              <w:t xml:space="preserve"> </w:t>
            </w:r>
          </w:p>
        </w:tc>
      </w:tr>
    </w:tbl>
    <w:p w14:paraId="4D117280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860" w:type="dxa"/>
        <w:tblInd w:w="108" w:type="dxa"/>
        <w:tblBorders>
          <w:top w:val="dotted" w:color="auto" w:sz="4" w:space="0"/>
          <w:left w:val="dotted" w:color="auto" w:sz="4" w:space="0"/>
          <w:bottom w:val="dotted" w:color="auto" w:sz="4" w:space="0"/>
          <w:right w:val="dotted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93"/>
        <w:gridCol w:w="326"/>
        <w:gridCol w:w="1411"/>
        <w:gridCol w:w="2465"/>
        <w:gridCol w:w="2465"/>
      </w:tblGrid>
      <w:tr w14:paraId="2F5BD22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9860" w:type="dxa"/>
            <w:gridSpan w:val="5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6D7F092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8.</w:t>
            </w:r>
            <w:r>
              <w:rPr>
                <w:rFonts w:hint="eastAsia"/>
                <w:b/>
                <w:sz w:val="24"/>
              </w:rPr>
              <w:t>接触控制</w:t>
            </w:r>
            <w:r>
              <w:rPr>
                <w:b/>
                <w:sz w:val="24"/>
              </w:rPr>
              <w:t>/</w:t>
            </w:r>
            <w:r>
              <w:rPr>
                <w:rFonts w:hint="eastAsia"/>
                <w:b/>
                <w:sz w:val="24"/>
              </w:rPr>
              <w:t>个人防护</w:t>
            </w:r>
          </w:p>
        </w:tc>
      </w:tr>
      <w:tr w14:paraId="6092870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9860" w:type="dxa"/>
            <w:gridSpan w:val="5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77FBBF6">
            <w:pPr>
              <w:keepNext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/>
                <w:b/>
                <w:sz w:val="24"/>
                <w:lang w:val="en-US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暴露控制：</w:t>
            </w:r>
          </w:p>
        </w:tc>
      </w:tr>
      <w:tr w14:paraId="4766DF4E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single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CF00F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呼吸系统防护：</w:t>
            </w:r>
          </w:p>
        </w:tc>
        <w:tc>
          <w:tcPr>
            <w:tcW w:w="6341" w:type="dxa"/>
            <w:gridSpan w:val="3"/>
            <w:tcBorders>
              <w:top w:val="single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622CA8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喷涂过程中要求有呼吸防护设备。</w:t>
            </w:r>
          </w:p>
        </w:tc>
      </w:tr>
      <w:tr w14:paraId="761F30E7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A40F4DB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64" w:leftChars="234" w:hanging="3373" w:hangingChars="14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 xml:space="preserve">手部防护： </w:t>
            </w:r>
            <w:r>
              <w:rPr>
                <w:b/>
                <w:sz w:val="24"/>
              </w:rPr>
              <w:tab/>
            </w:r>
            <w:r>
              <w:rPr>
                <w:rFonts w:hint="eastAsia" w:hAnsi="Arial" w:cs="Arial"/>
                <w:b/>
                <w:kern w:val="0"/>
                <w:sz w:val="24"/>
              </w:rPr>
              <w:t>喷涂过程中要求有呼吸防护设备。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DA4BEF8">
            <w:pPr>
              <w:keepNext w:val="0"/>
              <w:keepLines w:val="0"/>
              <w:pageBreakBefore w:val="0"/>
              <w:widowControl w:val="0"/>
              <w:tabs>
                <w:tab w:val="left" w:pos="3451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left="3855" w:hanging="3840" w:hangingChars="1600"/>
              <w:jc w:val="left"/>
              <w:textAlignment w:val="auto"/>
              <w:rPr>
                <w:rFonts w:hint="default" w:eastAsia="宋体"/>
                <w:b/>
                <w:sz w:val="24"/>
                <w:lang w:val="en-US" w:eastAsia="zh-CN"/>
              </w:rPr>
            </w:pP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建议戴上防护手套。</w:t>
            </w:r>
          </w:p>
        </w:tc>
      </w:tr>
      <w:tr w14:paraId="682FFA3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B518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防护手套的合适材料：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9A4C0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cs="Arial"/>
                <w:kern w:val="0"/>
                <w:sz w:val="24"/>
              </w:rPr>
            </w:pPr>
            <w:r>
              <w:rPr>
                <w:rFonts w:cs="Arial"/>
                <w:kern w:val="0"/>
                <w:sz w:val="24"/>
              </w:rPr>
              <w:t>EN 374-3</w:t>
            </w:r>
          </w:p>
        </w:tc>
      </w:tr>
      <w:tr w14:paraId="1A9CDF34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E7516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氟化橡胶 –FKM: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4310D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0.4mm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2455ED99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D99975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丁基橡胶 –IIR：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19BF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07619C0B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3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72AA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rFonts w:hint="eastAsia"/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丁腈橡胶 – NBR：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284A46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厚度≧</w:t>
            </w:r>
            <w:r>
              <w:rPr>
                <w:rFonts w:cs="Arial"/>
                <w:kern w:val="0"/>
                <w:sz w:val="24"/>
              </w:rPr>
              <w:t>0.35mm</w:t>
            </w:r>
            <w:r>
              <w:rPr>
                <w:rFonts w:hint="eastAsia" w:hAnsi="Arial" w:cs="Arial"/>
                <w:kern w:val="0"/>
                <w:sz w:val="24"/>
              </w:rPr>
              <w:t>；穿透时间≧</w:t>
            </w:r>
            <w:r>
              <w:rPr>
                <w:rFonts w:cs="Arial"/>
                <w:kern w:val="0"/>
                <w:sz w:val="24"/>
              </w:rPr>
              <w:t>480min.</w:t>
            </w:r>
          </w:p>
        </w:tc>
      </w:tr>
      <w:tr w14:paraId="65730FF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DD999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建议：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3D18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b/>
                <w:sz w:val="24"/>
              </w:rPr>
            </w:pPr>
          </w:p>
        </w:tc>
      </w:tr>
      <w:tr w14:paraId="59C24E25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0F931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眼睛防护：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F45D9C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戴</w:t>
            </w:r>
            <w:r>
              <w:rPr>
                <w:rFonts w:hint="eastAsia" w:hAnsi="Arial" w:cs="Arial"/>
                <w:kern w:val="0"/>
                <w:sz w:val="24"/>
                <w:lang w:val="en-US" w:eastAsia="zh-CN"/>
              </w:rPr>
              <w:t>护目镜</w:t>
            </w:r>
            <w:r>
              <w:rPr>
                <w:rFonts w:hint="eastAsia" w:hAnsi="Arial" w:cs="Arial"/>
                <w:kern w:val="0"/>
                <w:sz w:val="24"/>
              </w:rPr>
              <w:t>/面罩。</w:t>
            </w:r>
          </w:p>
        </w:tc>
      </w:tr>
      <w:tr w14:paraId="26E3284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BA0735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firstLine="482" w:firstLineChars="20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b/>
                <w:sz w:val="24"/>
              </w:rPr>
              <w:t>身体防护：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156E516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</w:rPr>
            </w:pPr>
            <w:r>
              <w:rPr>
                <w:rFonts w:hint="eastAsia" w:hAnsi="Arial" w:cs="Arial"/>
                <w:kern w:val="0"/>
                <w:sz w:val="24"/>
              </w:rPr>
              <w:t>穿着适当的防护服。</w:t>
            </w:r>
          </w:p>
        </w:tc>
      </w:tr>
      <w:tr w14:paraId="4BA4B642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19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83F79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cs="Arial"/>
                <w:kern w:val="0"/>
                <w:sz w:val="24"/>
                <w:lang w:val="en-US" w:eastAsia="zh-CN"/>
              </w:rPr>
            </w:pPr>
            <w:r>
              <w:rPr>
                <w:rFonts w:hint="eastAsia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8.2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工程控制：</w:t>
            </w:r>
          </w:p>
        </w:tc>
        <w:tc>
          <w:tcPr>
            <w:tcW w:w="6341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9552A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hAnsi="Arial" w:cs="Arial"/>
                <w:kern w:val="0"/>
                <w:sz w:val="24"/>
              </w:rPr>
              <w:t>使用局部排风或全面通风，保持工作场所空气中浓度低于职业接触限值；工作场所设置洗眼器与安全淋浴设施。</w:t>
            </w:r>
          </w:p>
        </w:tc>
      </w:tr>
      <w:tr w14:paraId="7F1E8C31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9860" w:type="dxa"/>
            <w:gridSpan w:val="5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35F92136">
            <w:pPr>
              <w:spacing w:line="300" w:lineRule="auto"/>
              <w:rPr>
                <w:rFonts w:hint="eastAsia" w:hAnsi="Arial" w:cs="Arial"/>
                <w:kern w:val="0"/>
                <w:sz w:val="24"/>
              </w:rPr>
            </w:pPr>
            <w:bookmarkStart w:id="0" w:name="_GoBack" w:colFirst="0" w:colLast="3"/>
            <w:r>
              <w:rPr>
                <w:rFonts w:hint="eastAsia"/>
                <w:b/>
                <w:sz w:val="24"/>
              </w:rPr>
              <w:t>工作场所组分控制参数</w:t>
            </w:r>
          </w:p>
        </w:tc>
      </w:tr>
      <w:tr w14:paraId="0B7B210A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EE67E1A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物质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7E89288B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依据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534BECAC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类型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41B1942F">
            <w:pPr>
              <w:spacing w:line="300" w:lineRule="auto"/>
              <w:jc w:val="both"/>
              <w:rPr>
                <w:rFonts w:hint="eastAsia"/>
                <w:b/>
                <w:bCs/>
                <w:sz w:val="24"/>
              </w:rPr>
            </w:pPr>
            <w:r>
              <w:rPr>
                <w:rFonts w:hint="eastAsia"/>
                <w:b/>
                <w:bCs/>
                <w:sz w:val="24"/>
              </w:rPr>
              <w:t>数值</w:t>
            </w:r>
          </w:p>
        </w:tc>
      </w:tr>
      <w:tr w14:paraId="4FE453FD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/>
            <w:vAlign w:val="top"/>
          </w:tcPr>
          <w:p w14:paraId="252D7AC4">
            <w:pPr>
              <w:spacing w:line="300" w:lineRule="auto"/>
              <w:rPr>
                <w:rFonts w:hint="default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六亚甲基-</w:t>
            </w:r>
            <w:r>
              <w:rPr>
                <w:sz w:val="24"/>
              </w:rPr>
              <w:t>1</w:t>
            </w:r>
            <w:r>
              <w:rPr>
                <w:rFonts w:hint="eastAsia"/>
                <w:sz w:val="24"/>
              </w:rPr>
              <w:t>,</w:t>
            </w:r>
            <w:r>
              <w:rPr>
                <w:sz w:val="24"/>
              </w:rPr>
              <w:t>6</w:t>
            </w:r>
            <w:r>
              <w:rPr>
                <w:rFonts w:hint="eastAsia"/>
                <w:sz w:val="24"/>
              </w:rPr>
              <w:t>-二异氰酸酯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/>
            <w:vAlign w:val="top"/>
          </w:tcPr>
          <w:p w14:paraId="56975D77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/>
            <w:vAlign w:val="top"/>
          </w:tcPr>
          <w:p w14:paraId="5EAACCE3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single" w:color="auto" w:sz="4" w:space="0"/>
            </w:tcBorders>
            <w:shd w:val="clear"/>
            <w:vAlign w:val="top"/>
          </w:tcPr>
          <w:p w14:paraId="3D702FD5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0</w:t>
            </w:r>
            <w:r>
              <w:rPr>
                <w:sz w:val="24"/>
              </w:rPr>
              <w:t xml:space="preserve">.03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tr w14:paraId="2D7FCD93">
        <w:tblPrEx>
          <w:tblBorders>
            <w:top w:val="dotted" w:color="auto" w:sz="4" w:space="0"/>
            <w:left w:val="dotted" w:color="auto" w:sz="4" w:space="0"/>
            <w:bottom w:val="dotted" w:color="auto" w:sz="4" w:space="0"/>
            <w:right w:val="dotted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193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4D57865C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丙二醇甲醚醋酸酯</w:t>
            </w:r>
          </w:p>
        </w:tc>
        <w:tc>
          <w:tcPr>
            <w:tcW w:w="1737" w:type="dxa"/>
            <w:gridSpan w:val="2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23247551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CN</w:t>
            </w:r>
            <w:r>
              <w:rPr>
                <w:sz w:val="24"/>
              </w:rPr>
              <w:t xml:space="preserve"> </w:t>
            </w:r>
            <w:r>
              <w:rPr>
                <w:rFonts w:hint="eastAsia"/>
                <w:sz w:val="24"/>
              </w:rPr>
              <w:t>OEL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0506146D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TWA</w:t>
            </w:r>
          </w:p>
        </w:tc>
        <w:tc>
          <w:tcPr>
            <w:tcW w:w="2465" w:type="dxa"/>
            <w:tcBorders>
              <w:top w:val="dotted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vAlign w:val="top"/>
          </w:tcPr>
          <w:p w14:paraId="34AD0DDD">
            <w:pPr>
              <w:spacing w:line="300" w:lineRule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sz w:val="24"/>
              </w:rPr>
              <w:t xml:space="preserve">100 </w:t>
            </w:r>
            <w:r>
              <w:rPr>
                <w:rFonts w:hint="eastAsia"/>
                <w:sz w:val="24"/>
              </w:rPr>
              <w:t>mg</w:t>
            </w:r>
            <w:r>
              <w:rPr>
                <w:sz w:val="24"/>
              </w:rPr>
              <w:t>/m</w:t>
            </w:r>
            <w:r>
              <w:rPr>
                <w:sz w:val="24"/>
                <w:vertAlign w:val="superscript"/>
              </w:rPr>
              <w:t>3</w:t>
            </w:r>
          </w:p>
        </w:tc>
      </w:tr>
      <w:bookmarkEnd w:id="0"/>
    </w:tbl>
    <w:p w14:paraId="2FDFF4E3">
      <w:pPr>
        <w:spacing w:line="300" w:lineRule="auto"/>
        <w:ind w:right="480"/>
        <w:rPr>
          <w:b/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49FE3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18A46F13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9. </w:t>
            </w:r>
            <w:r>
              <w:rPr>
                <w:rFonts w:hint="eastAsia"/>
                <w:b/>
                <w:sz w:val="24"/>
              </w:rPr>
              <w:t>物理和化学特性</w:t>
            </w:r>
          </w:p>
        </w:tc>
      </w:tr>
      <w:tr w14:paraId="76B1C7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6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EC0A30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外观：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ACFE8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eastAsia="宋体" w:cs="宋体"/>
                <w:color w:val="000000"/>
                <w:sz w:val="24"/>
                <w:szCs w:val="24"/>
              </w:rPr>
              <w:t>乳白色液体</w:t>
            </w:r>
          </w:p>
        </w:tc>
      </w:tr>
      <w:tr w14:paraId="706DF9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1B2ED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嗅觉阈值：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7A78F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03A714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168D17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9.3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pH值（1%水溶液）：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1929290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7-9</w:t>
            </w:r>
          </w:p>
        </w:tc>
      </w:tr>
      <w:tr w14:paraId="1B7A2F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3EF5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离子性：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1B72DBC">
            <w:pPr>
              <w:keepNext w:val="0"/>
              <w:keepLines w:val="0"/>
              <w:pageBreakBefore w:val="0"/>
              <w:widowControl w:val="0"/>
              <w:tabs>
                <w:tab w:val="left" w:pos="3960"/>
              </w:tabs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 w:ascii="宋体" w:hAnsi="宋体" w:cs="宋体"/>
                <w:color w:val="000000"/>
                <w:sz w:val="24"/>
                <w:szCs w:val="24"/>
              </w:rPr>
              <w:t>非离子</w:t>
            </w:r>
          </w:p>
        </w:tc>
      </w:tr>
      <w:tr w14:paraId="1F71C6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3B2AF6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初沸点：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615D6A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9BCB1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31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225A1D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9.6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闪点：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6C963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B44C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6395E2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9.7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蒸发速率：    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CE9B4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2F9E2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B8FDB5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9.8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可燃性（固态、气态）：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820B80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32C6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F22DD7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 燃烧值：   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9B9A6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color w:val="FF0000"/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E5400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88290F5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饱和蒸气压：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8B70E5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3DB888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850AE9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相对蒸气密度：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7BD96B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F0AF3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CA090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密度： 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DE9D23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  <w:vertAlign w:val="super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7083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2D0F8E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9.13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水溶性：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2E96A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64451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2AE2D5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 xml:space="preserve">表面张力：  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14F52EC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45148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7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082A741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9.15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辛醇/水分配系数对数值：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056B9A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  <w:vertAlign w:val="subscript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5085B9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left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AFB09C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9.16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自燃温度：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single" w:color="auto" w:sz="4" w:space="0"/>
            </w:tcBorders>
            <w:vAlign w:val="center"/>
          </w:tcPr>
          <w:p w14:paraId="634CC6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F548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A96A3BC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9.17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引燃温度：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7D88D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75A985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D5CA8D4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9.18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分解温度：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25D0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/>
              <w:jc w:val="left"/>
              <w:textAlignment w:val="auto"/>
              <w:rPr>
                <w:rFonts w:hint="eastAsia" w:ascii="Times New Roman" w:hAnsi="Times New Roman" w:eastAsia="宋体" w:cs="Times New Roman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0B41D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7F58328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9.19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动力粘度：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2B81A5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9AEB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7CF3C57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9.20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爆炸特性：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34BB47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45688A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D27CAA9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9.21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粉尘爆炸级别：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AF3D9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2A2B3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58867D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9.22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固体含量：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664D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  <w:tr w14:paraId="1739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90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37C6F47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420" w:leftChars="0" w:hanging="420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9.24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其他信息：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73D99FF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bidi w:val="0"/>
              <w:adjustRightInd/>
              <w:snapToGrid/>
              <w:spacing w:line="300" w:lineRule="auto"/>
              <w:ind w:right="34" w:rightChars="16" w:firstLine="0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/>
                <w:sz w:val="24"/>
              </w:rPr>
              <w:t>无数据</w:t>
            </w:r>
          </w:p>
        </w:tc>
      </w:tr>
    </w:tbl>
    <w:p w14:paraId="7A162BBF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207A9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64C64BB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10.</w:t>
            </w:r>
            <w:r>
              <w:rPr>
                <w:rFonts w:hint="eastAsia" w:hAnsi="Arial"/>
                <w:b/>
                <w:sz w:val="24"/>
              </w:rPr>
              <w:t>稳定性和反应性</w:t>
            </w:r>
          </w:p>
        </w:tc>
      </w:tr>
      <w:tr w14:paraId="0BB27E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EA8933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化学稳定性：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786BDC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-25" w:leftChars="-12" w:right="480" w:firstLine="26" w:firstLineChars="1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在推荐储存和操作条件下稳定。避免冻结、过热和长期阳光照射。</w:t>
            </w:r>
          </w:p>
        </w:tc>
      </w:tr>
      <w:tr w14:paraId="46C975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F444C76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危险分解产物：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065D49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eastAsia="宋体"/>
                <w:sz w:val="24"/>
                <w:lang w:eastAsia="zh-CN"/>
              </w:rPr>
            </w:pPr>
            <w:r>
              <w:rPr>
                <w:rFonts w:hint="eastAsia" w:hAnsi="Arial"/>
                <w:sz w:val="24"/>
              </w:rPr>
              <w:t>受热分解或燃烧可能产生一氧化碳、二氧化碳、氮氧化物及刺激性烟气。</w:t>
            </w:r>
          </w:p>
        </w:tc>
      </w:tr>
      <w:tr w14:paraId="50E98E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FDABBAB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可能的危害反应：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604AF07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正常使用条件下无已知危险反应；</w:t>
            </w:r>
          </w:p>
        </w:tc>
      </w:tr>
      <w:tr w14:paraId="0D0A5E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6786084F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eastAsia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10.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4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应避免的条件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top"/>
          </w:tcPr>
          <w:p w14:paraId="58B73A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  <w:tr w14:paraId="43766A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3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shd w:val="clear" w:color="auto" w:fill="auto"/>
            <w:vAlign w:val="center"/>
          </w:tcPr>
          <w:p w14:paraId="7D5C1782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10.5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禁配物：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top"/>
          </w:tcPr>
          <w:p w14:paraId="1201E2D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hAnsi="Arial" w:eastAsia="宋体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</w:t>
            </w:r>
          </w:p>
        </w:tc>
      </w:tr>
    </w:tbl>
    <w:p w14:paraId="27E10F6C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19"/>
        <w:gridCol w:w="1311"/>
        <w:gridCol w:w="635"/>
        <w:gridCol w:w="4316"/>
      </w:tblGrid>
      <w:tr w14:paraId="441765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4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1CE92C46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11.</w:t>
            </w:r>
            <w:r>
              <w:rPr>
                <w:rFonts w:hint="eastAsia" w:hAnsi="Arial"/>
                <w:b/>
                <w:sz w:val="24"/>
              </w:rPr>
              <w:t>毒性资料</w:t>
            </w:r>
          </w:p>
        </w:tc>
      </w:tr>
      <w:tr w14:paraId="08151B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single" w:color="auto" w:sz="4" w:space="0"/>
              <w:bottom w:val="dotted" w:color="auto" w:sz="4" w:space="0"/>
            </w:tcBorders>
          </w:tcPr>
          <w:p w14:paraId="785151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该产品无可用的毒理学研究。</w:t>
            </w:r>
          </w:p>
        </w:tc>
      </w:tr>
      <w:tr w14:paraId="0D17F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9781" w:type="dxa"/>
            <w:gridSpan w:val="4"/>
            <w:tcBorders>
              <w:top w:val="dotted" w:color="auto" w:sz="4" w:space="0"/>
              <w:bottom w:val="dotted" w:color="auto" w:sz="4" w:space="0"/>
            </w:tcBorders>
          </w:tcPr>
          <w:p w14:paraId="3ABAC8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leftChars="16" w:right="480"/>
              <w:jc w:val="left"/>
              <w:textAlignment w:val="auto"/>
              <w:rPr>
                <w:sz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（CAS号：112-34-5）的毒理学参考数据：</w:t>
            </w:r>
          </w:p>
        </w:tc>
      </w:tr>
      <w:tr w14:paraId="08568C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B72C76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急性毒性：</w:t>
            </w: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3CFEB9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default" w:ascii="宋体" w:hAnsi="宋体" w:eastAsia="宋体" w:cs="宋体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经口：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EC890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半数致死剂量（LD50）/大鼠：约3,306 mg/kg。</w:t>
            </w:r>
          </w:p>
        </w:tc>
      </w:tr>
      <w:tr w14:paraId="7C33C7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BB29EF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39D3D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吸入：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9B94EE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 xml:space="preserve">半数致死浓度（LC50）/4 h/大鼠： ＞1.5 mg/L（气溶胶）。 </w:t>
            </w:r>
          </w:p>
        </w:tc>
      </w:tr>
      <w:tr w14:paraId="50E3B3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4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4F24CBA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311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BB847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b/>
                <w:bCs/>
                <w:sz w:val="24"/>
                <w:lang w:val="en-US" w:eastAsia="zh-CN"/>
              </w:rPr>
            </w:pPr>
            <w:r>
              <w:rPr>
                <w:rFonts w:hint="eastAsia"/>
                <w:b/>
                <w:bCs/>
                <w:sz w:val="24"/>
                <w:lang w:val="en-US" w:eastAsia="zh-CN"/>
              </w:rPr>
              <w:t>经皮：</w:t>
            </w:r>
          </w:p>
        </w:tc>
        <w:tc>
          <w:tcPr>
            <w:tcW w:w="4951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146B65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半数致死剂量（LD50）/兔：2,764 mg/kg。</w:t>
            </w:r>
          </w:p>
        </w:tc>
      </w:tr>
      <w:tr w14:paraId="2B060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ED0690">
            <w:pPr>
              <w:keepNext w:val="0"/>
              <w:numPr>
                <w:ilvl w:val="1"/>
                <w:numId w:val="0"/>
              </w:numPr>
              <w:spacing w:line="300" w:lineRule="auto"/>
              <w:ind w:left="599" w:leftChars="16" w:hanging="565" w:hangingChars="268"/>
              <w:jc w:val="both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2FC9C19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2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根据现有数据，二乙二醇单丁醚未达到急性经口、 经皮或气溶胶吸入毒性的分类标准。</w:t>
            </w:r>
          </w:p>
        </w:tc>
      </w:tr>
      <w:tr w14:paraId="273469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C3C70E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11.2</w:t>
            </w:r>
            <w:r>
              <w:rPr>
                <w:rFonts w:hint="eastAsia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</w:rPr>
              <w:t>主要皮肤刺激性：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0502DE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6419A3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根据现有数据，不属于皮肤腐蚀或皮肤刺激类</w:t>
            </w:r>
          </w:p>
          <w:p w14:paraId="3642F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长时间或反复接触可能造成皮肤干燥</w:t>
            </w:r>
          </w:p>
        </w:tc>
      </w:tr>
      <w:tr w14:paraId="577A43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5D2D0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主要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眼睛</w:t>
            </w:r>
            <w:r>
              <w:rPr>
                <w:rFonts w:hint="eastAsia" w:hAnsi="Arial"/>
                <w:b/>
                <w:sz w:val="24"/>
              </w:rPr>
              <w:t>刺激性：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66A01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物种：兔子</w:t>
            </w:r>
          </w:p>
          <w:p w14:paraId="40548A6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分类：刺激眼睛</w:t>
            </w:r>
          </w:p>
          <w:p w14:paraId="7B7072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未稀释的二乙二醇单丁醚可造成明显眼睛刺激，</w:t>
            </w:r>
          </w:p>
        </w:tc>
      </w:tr>
      <w:tr w14:paraId="6EF8BC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69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0CA5A11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致敏性：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FBF7D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物种：</w:t>
            </w:r>
            <w:r>
              <w:rPr>
                <w:rFonts w:ascii="宋体" w:hAnsi="宋体" w:eastAsia="宋体" w:cs="宋体"/>
                <w:sz w:val="24"/>
                <w:szCs w:val="24"/>
              </w:rPr>
              <w:t>豚鼠</w:t>
            </w:r>
          </w:p>
          <w:p w14:paraId="40806DF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分类：</w:t>
            </w:r>
            <w:r>
              <w:rPr>
                <w:rFonts w:ascii="宋体" w:hAnsi="宋体" w:eastAsia="宋体" w:cs="宋体"/>
                <w:sz w:val="24"/>
                <w:szCs w:val="24"/>
              </w:rPr>
              <w:t>根据现有资料，不属于皮肤致敏物质</w:t>
            </w:r>
          </w:p>
          <w:p w14:paraId="12A8D6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default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结果：</w:t>
            </w:r>
            <w:r>
              <w:rPr>
                <w:rFonts w:ascii="宋体" w:hAnsi="宋体" w:eastAsia="宋体" w:cs="宋体"/>
                <w:sz w:val="24"/>
                <w:szCs w:val="24"/>
              </w:rPr>
              <w:t>动物试验中未观察到皮肤过敏反应。</w:t>
            </w:r>
          </w:p>
        </w:tc>
      </w:tr>
      <w:tr w14:paraId="523E70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7B49E7B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11.5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致突变性：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7541511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0" w:leftChars="0"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多数细菌回复突变试验及染色体畸变试验结果为阴性。 部分体外基因突变试验结果存在差异。</w:t>
            </w:r>
          </w:p>
        </w:tc>
      </w:tr>
      <w:tr w14:paraId="1F234C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73115F23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11.6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致癌性：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093BEC9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在动物试验中未见致癌影响。</w:t>
            </w:r>
          </w:p>
        </w:tc>
      </w:tr>
      <w:tr w14:paraId="6407FC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restart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9F8E95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11.7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生殖毒性：</w:t>
            </w: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386322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hint="default" w:hAnsi="Arial"/>
                <w:b/>
                <w:bCs/>
                <w:sz w:val="24"/>
                <w:lang w:val="en-US" w:eastAsia="zh-CN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生育力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96E91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711777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37CBC02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6105980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960" w:hanging="964" w:hangingChars="400"/>
              <w:jc w:val="left"/>
              <w:textAlignment w:val="auto"/>
              <w:rPr>
                <w:rFonts w:ascii="宋体" w:hAnsi="宋体" w:eastAsia="宋体" w:cs="宋体"/>
                <w:b/>
                <w:bCs/>
                <w:sz w:val="24"/>
                <w:szCs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致畸形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61696E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56A2A8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vMerge w:val="continue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560C53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</w:pPr>
          </w:p>
        </w:tc>
        <w:tc>
          <w:tcPr>
            <w:tcW w:w="1946" w:type="dxa"/>
            <w:gridSpan w:val="2"/>
            <w:tcBorders>
              <w:top w:val="dotted" w:color="auto" w:sz="4" w:space="0"/>
              <w:left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203F84C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宋体" w:hAnsi="宋体" w:cs="宋体"/>
                <w:b/>
                <w:bCs/>
                <w:sz w:val="24"/>
              </w:rPr>
            </w:pPr>
            <w:r>
              <w:rPr>
                <w:rFonts w:hint="eastAsia" w:ascii="宋体" w:hAnsi="宋体" w:cs="宋体"/>
                <w:b/>
                <w:bCs/>
                <w:sz w:val="24"/>
              </w:rPr>
              <w:t>体外遗传毒性</w:t>
            </w:r>
          </w:p>
        </w:tc>
        <w:tc>
          <w:tcPr>
            <w:tcW w:w="4316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40D12DF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</w:p>
        </w:tc>
      </w:tr>
      <w:tr w14:paraId="657E74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66F4390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11.8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特异性靶器官系统毒性（一次接触/反复接触）：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5D0C0A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根据现有资料，未达到特异性靶器官毒性 一次接触的分类标准。</w:t>
            </w:r>
          </w:p>
        </w:tc>
      </w:tr>
      <w:tr w14:paraId="4CDF04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5" w:hRule="atLeast"/>
        </w:trPr>
        <w:tc>
          <w:tcPr>
            <w:tcW w:w="3519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AF3F3AE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11.9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吸入危险：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</w:tcPr>
          <w:p w14:paraId="59099FE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eastAsia" w:hAnsi="Arial"/>
                <w:sz w:val="24"/>
                <w:lang w:val="en-US" w:eastAsia="zh-CN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  <w:tr w14:paraId="3A7F6B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1" w:hRule="atLeast"/>
        </w:trPr>
        <w:tc>
          <w:tcPr>
            <w:tcW w:w="3519" w:type="dxa"/>
            <w:tcBorders>
              <w:top w:val="dotted" w:color="auto" w:sz="4" w:space="0"/>
              <w:right w:val="dotted" w:color="auto" w:sz="4" w:space="0"/>
            </w:tcBorders>
            <w:vAlign w:val="center"/>
          </w:tcPr>
          <w:p w14:paraId="2CE8DB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9" w:leftChars="16" w:hanging="565" w:hangingChars="268"/>
              <w:jc w:val="left"/>
              <w:textAlignment w:val="auto"/>
              <w:rPr>
                <w:rFonts w:hint="eastAsia" w:hAnsi="Arial"/>
                <w:b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11.10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附加信息：</w:t>
            </w:r>
          </w:p>
        </w:tc>
        <w:tc>
          <w:tcPr>
            <w:tcW w:w="6262" w:type="dxa"/>
            <w:gridSpan w:val="3"/>
            <w:tcBorders>
              <w:top w:val="dotted" w:color="auto" w:sz="4" w:space="0"/>
              <w:left w:val="dotted" w:color="auto" w:sz="4" w:space="0"/>
            </w:tcBorders>
          </w:tcPr>
          <w:p w14:paraId="715C379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眼睛接触可能造成明显刺激、发红及疼痛。</w:t>
            </w:r>
          </w:p>
          <w:p w14:paraId="546BAC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 xml:space="preserve">长时间或反复皮肤接触可能造成轻微刺激、 皮肤发红或皮肤干燥。 </w:t>
            </w:r>
          </w:p>
          <w:p w14:paraId="2A99AA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正常温度下蒸气压较低，单次蒸气暴露通常不预期造成明显不良影响；</w:t>
            </w:r>
          </w:p>
          <w:p w14:paraId="3F859F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0"/>
              <w:jc w:val="left"/>
              <w:textAlignment w:val="auto"/>
              <w:rPr>
                <w:rFonts w:hint="default" w:hAnsi="Arial"/>
                <w:sz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喷涂、加热或形成气溶胶时， 应保持良好通风并避免吸入。 误食较大剂量可能造成不适。</w:t>
            </w:r>
          </w:p>
        </w:tc>
      </w:tr>
    </w:tbl>
    <w:p w14:paraId="1DBC8BF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C1B38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F29EC5C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>12.</w:t>
            </w:r>
            <w:r>
              <w:rPr>
                <w:rFonts w:hint="eastAsia" w:hAnsi="Arial"/>
                <w:b/>
                <w:sz w:val="24"/>
              </w:rPr>
              <w:t>生态信息</w:t>
            </w:r>
          </w:p>
        </w:tc>
      </w:tr>
      <w:tr w14:paraId="731737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580BB7A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b/>
                <w:sz w:val="24"/>
                <w:shd w:val="clear" w:color="auto" w:fill="auto"/>
              </w:rPr>
            </w:pPr>
            <w:r>
              <w:rPr>
                <w:rFonts w:hint="eastAsia" w:hAnsi="Arial"/>
                <w:sz w:val="24"/>
                <w:shd w:val="clear" w:color="auto" w:fill="auto"/>
              </w:rPr>
              <w:t>该产品无可用的生态毒理学研究。</w:t>
            </w:r>
          </w:p>
        </w:tc>
      </w:tr>
      <w:tr w14:paraId="3AB6E8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gridSpan w:val="2"/>
            <w:tcBorders>
              <w:top w:val="dotted" w:color="auto" w:sz="4" w:space="0"/>
              <w:bottom w:val="dotted" w:color="auto" w:sz="4" w:space="0"/>
            </w:tcBorders>
            <w:shd w:val="clear" w:color="auto" w:fill="auto"/>
            <w:vAlign w:val="center"/>
          </w:tcPr>
          <w:p w14:paraId="716EDF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right="480"/>
              <w:jc w:val="left"/>
              <w:textAlignment w:val="auto"/>
              <w:rPr>
                <w:rFonts w:hint="eastAsia" w:hAnsi="Arial"/>
                <w:sz w:val="24"/>
                <w:shd w:val="clear" w:color="auto" w:fill="auto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以下为二乙二醇单丁醚 （CAS号：112-34-5）的生态毒理学参考数据：</w:t>
            </w:r>
          </w:p>
        </w:tc>
      </w:tr>
      <w:tr w14:paraId="7994A9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54C327B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1  </w:t>
            </w:r>
            <w:r>
              <w:rPr>
                <w:rFonts w:hint="eastAsia" w:hAnsi="Arial"/>
                <w:b/>
                <w:sz w:val="24"/>
              </w:rPr>
              <w:t>生态毒性：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3DC90783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对鱼类的毒性：</w:t>
            </w:r>
          </w:p>
          <w:p w14:paraId="32D8BBF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半数致死浓度（LC50）/96 h/ 蓝鳃太阳鱼：1,300 mg/L</w:t>
            </w:r>
          </w:p>
          <w:p w14:paraId="6D870040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</w:pPr>
            <w:r>
              <w:rPr>
                <w:rFonts w:hint="eastAsia"/>
                <w:b w:val="0"/>
                <w:bCs/>
                <w:sz w:val="24"/>
                <w:shd w:val="clear" w:color="auto" w:fill="auto"/>
                <w:lang w:val="en-US" w:eastAsia="zh-CN"/>
              </w:rPr>
              <w:t>其他：</w:t>
            </w:r>
          </w:p>
          <w:p w14:paraId="1BA6720E"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left"/>
              <w:textAlignment w:val="auto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生物量半数有效浓度（EbC50）/96 h/ 绿藻：＞100 mg/L。 半数有效浓度（EC50）/48 h/ 大型溞：＞100 mg/L</w:t>
            </w:r>
          </w:p>
        </w:tc>
      </w:tr>
      <w:tr w14:paraId="3CB8CC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F8F9209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12.2</w:t>
            </w:r>
            <w:r>
              <w:rPr>
                <w:rFonts w:hint="eastAsia" w:cs="Times New Roman"/>
                <w:b/>
                <w:kern w:val="2"/>
                <w:sz w:val="24"/>
                <w:szCs w:val="24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持久性和降解性：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49C5301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生物降解率：89%—93%，28 d</w:t>
            </w:r>
          </w:p>
          <w:p w14:paraId="7FBC779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z w:val="24"/>
                <w:szCs w:val="24"/>
              </w:rPr>
              <w:t>试验方法：OECD 301C或等效方法</w:t>
            </w:r>
            <w:r>
              <w:rPr>
                <w:rFonts w:hint="eastAsia" w:ascii="宋体" w:hAnsi="宋体" w:cs="宋体"/>
                <w:sz w:val="24"/>
                <w:szCs w:val="24"/>
                <w:lang w:eastAsia="zh-CN"/>
              </w:rPr>
              <w:t>。</w:t>
            </w:r>
          </w:p>
        </w:tc>
      </w:tr>
      <w:tr w14:paraId="31B028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2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01AA066D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597" w:leftChars="0" w:hanging="597" w:hangingChars="283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12.3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其他</w:t>
            </w:r>
            <w:r>
              <w:rPr>
                <w:rFonts w:hint="eastAsia" w:hAnsi="Arial"/>
                <w:b/>
                <w:sz w:val="24"/>
                <w:lang w:val="en-US" w:eastAsia="zh-CN"/>
              </w:rPr>
              <w:t>不利的影响</w:t>
            </w:r>
            <w:r>
              <w:rPr>
                <w:rFonts w:hint="eastAsia" w:hAnsi="Arial"/>
                <w:b/>
                <w:sz w:val="24"/>
              </w:rPr>
              <w:t>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</w:tcPr>
          <w:p w14:paraId="754855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1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无数据资料。</w:t>
            </w:r>
          </w:p>
        </w:tc>
      </w:tr>
    </w:tbl>
    <w:p w14:paraId="113DEAAE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66D0AC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6B06BC8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13. </w:t>
            </w:r>
            <w:r>
              <w:rPr>
                <w:rFonts w:hint="eastAsia" w:hAnsi="Arial"/>
                <w:b/>
                <w:sz w:val="24"/>
              </w:rPr>
              <w:t>处理注意事项</w:t>
            </w:r>
          </w:p>
        </w:tc>
      </w:tr>
      <w:tr w14:paraId="6C5A3A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3" w:hRule="atLeast"/>
        </w:trPr>
        <w:tc>
          <w:tcPr>
            <w:tcW w:w="9781" w:type="dxa"/>
            <w:gridSpan w:val="2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49E7077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必须遵守适用的国标、国家或当地法规进行废弃。</w:t>
            </w:r>
          </w:p>
          <w:p w14:paraId="1E572E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Lines="20" w:afterLines="20" w:line="240" w:lineRule="atLeast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在欧盟领域内废弃，应根据欧洲废弃物分类（</w:t>
            </w:r>
            <w:r>
              <w:rPr>
                <w:sz w:val="24"/>
              </w:rPr>
              <w:t>EWC</w:t>
            </w:r>
            <w:r>
              <w:rPr>
                <w:rFonts w:hint="eastAsia" w:hAnsi="Arial"/>
                <w:sz w:val="24"/>
              </w:rPr>
              <w:t>）的适当法规。</w:t>
            </w:r>
          </w:p>
        </w:tc>
      </w:tr>
      <w:tr w14:paraId="3A3071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74363794">
            <w:pPr>
              <w:keepNext w:val="0"/>
              <w:keepLines w:val="0"/>
              <w:pageBreakBefore w:val="0"/>
              <w:widowControl w:val="0"/>
              <w:tabs>
                <w:tab w:val="left" w:pos="3275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center"/>
              <w:textAlignment w:val="auto"/>
              <w:rPr>
                <w:sz w:val="24"/>
              </w:rPr>
            </w:pPr>
            <w:r>
              <w:rPr>
                <w:rFonts w:hint="eastAsia" w:hAnsi="Arial"/>
                <w:b/>
                <w:sz w:val="24"/>
              </w:rPr>
              <w:t>处理方法：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3EFBDB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尽可能将容器倒空（例如经倾倒，刮擦或排干直至</w:t>
            </w:r>
            <w:r>
              <w:rPr>
                <w:rFonts w:hint="eastAsia"/>
                <w:sz w:val="24"/>
              </w:rPr>
              <w:t>“</w:t>
            </w:r>
            <w:r>
              <w:rPr>
                <w:rFonts w:hint="eastAsia" w:hAnsi="Arial"/>
                <w:sz w:val="24"/>
              </w:rPr>
              <w:t>滴干</w:t>
            </w:r>
            <w:r>
              <w:rPr>
                <w:rFonts w:hint="eastAsia"/>
                <w:sz w:val="24"/>
              </w:rPr>
              <w:t>”</w:t>
            </w:r>
            <w:r>
              <w:rPr>
                <w:rFonts w:hint="eastAsia" w:hAnsi="Arial"/>
                <w:sz w:val="24"/>
              </w:rPr>
              <w:t>）</w:t>
            </w:r>
          </w:p>
          <w:p w14:paraId="6EB8C2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可根据化学工业现存的回收方案送往适当的收集点处理。</w:t>
            </w:r>
          </w:p>
          <w:p w14:paraId="431F0D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容器应按照国家法令和环境相关法规进行回收。</w:t>
            </w:r>
          </w:p>
          <w:p w14:paraId="5A41BF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jc w:val="both"/>
              <w:textAlignment w:val="auto"/>
              <w:rPr>
                <w:rFonts w:hint="eastAsia" w:hAnsi="Arial"/>
                <w:sz w:val="24"/>
              </w:rPr>
            </w:pPr>
            <w:r>
              <w:rPr>
                <w:rFonts w:hint="eastAsia" w:hAnsi="Arial"/>
                <w:sz w:val="24"/>
              </w:rPr>
              <w:t>不能将废弃物通过废水排放。</w:t>
            </w:r>
          </w:p>
        </w:tc>
      </w:tr>
    </w:tbl>
    <w:p w14:paraId="4FC2F438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04"/>
        <w:gridCol w:w="6277"/>
      </w:tblGrid>
      <w:tr w14:paraId="7B487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gridSpan w:val="2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</w:tcPr>
          <w:p w14:paraId="5D6DDD14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14. </w:t>
            </w:r>
            <w:r>
              <w:rPr>
                <w:rFonts w:hint="eastAsia" w:hAnsi="Arial"/>
                <w:b/>
                <w:sz w:val="24"/>
              </w:rPr>
              <w:t>运输信息</w:t>
            </w:r>
          </w:p>
        </w:tc>
      </w:tr>
      <w:tr w14:paraId="308B5E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single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99E9AB5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14.1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公路和铁路运输：</w:t>
            </w:r>
          </w:p>
        </w:tc>
        <w:tc>
          <w:tcPr>
            <w:tcW w:w="6277" w:type="dxa"/>
            <w:tcBorders>
              <w:top w:val="single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014F40C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非危险品陆运输方式。</w:t>
            </w:r>
          </w:p>
        </w:tc>
      </w:tr>
      <w:tr w14:paraId="6DCCEC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4CFEF3D7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14.2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海上运输：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6F80C3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非危险品海运方式。</w:t>
            </w:r>
          </w:p>
        </w:tc>
      </w:tr>
      <w:tr w14:paraId="5C8C79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4" w:hRule="atLeast"/>
        </w:trPr>
        <w:tc>
          <w:tcPr>
            <w:tcW w:w="3504" w:type="dxa"/>
            <w:tcBorders>
              <w:top w:val="dotted" w:color="auto" w:sz="4" w:space="0"/>
              <w:bottom w:val="dotted" w:color="auto" w:sz="4" w:space="0"/>
              <w:right w:val="dotted" w:color="auto" w:sz="4" w:space="0"/>
            </w:tcBorders>
            <w:vAlign w:val="center"/>
          </w:tcPr>
          <w:p w14:paraId="14B11CF4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14.3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空运：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dotted" w:color="auto" w:sz="4" w:space="0"/>
            </w:tcBorders>
            <w:vAlign w:val="center"/>
          </w:tcPr>
          <w:p w14:paraId="2EA81C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 w:hAnsi="Arial"/>
                <w:sz w:val="24"/>
              </w:rPr>
              <w:t>非危险品运输方式。</w:t>
            </w:r>
          </w:p>
        </w:tc>
      </w:tr>
      <w:tr w14:paraId="40A5C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9" w:hRule="atLeast"/>
        </w:trPr>
        <w:tc>
          <w:tcPr>
            <w:tcW w:w="3504" w:type="dxa"/>
            <w:tcBorders>
              <w:top w:val="dotted" w:color="auto" w:sz="4" w:space="0"/>
              <w:bottom w:val="single" w:color="auto" w:sz="4" w:space="0"/>
              <w:right w:val="dotted" w:color="auto" w:sz="4" w:space="0"/>
            </w:tcBorders>
            <w:vAlign w:val="center"/>
          </w:tcPr>
          <w:p w14:paraId="261CF3AC">
            <w:pPr>
              <w:keepNext w:val="0"/>
              <w:keepLines w:val="0"/>
              <w:pageBreakBefore w:val="0"/>
              <w:widowControl w:val="0"/>
              <w:numPr>
                <w:ilvl w:val="1"/>
                <w:numId w:val="0"/>
              </w:numPr>
              <w:tabs>
                <w:tab w:val="left" w:pos="601"/>
              </w:tabs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601" w:leftChars="0" w:hanging="601" w:firstLineChars="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default" w:ascii="Times New Roman" w:hAnsi="Times New Roman" w:eastAsia="宋体" w:cs="Times New Roman"/>
                <w:b/>
                <w:kern w:val="2"/>
                <w:sz w:val="21"/>
                <w:szCs w:val="21"/>
                <w:lang w:val="en-US" w:eastAsia="zh-CN" w:bidi="ar-SA"/>
              </w:rPr>
              <w:t>14.4</w:t>
            </w:r>
            <w:r>
              <w:rPr>
                <w:rFonts w:hint="eastAsia" w:cs="Times New Roman"/>
                <w:b/>
                <w:kern w:val="2"/>
                <w:sz w:val="21"/>
                <w:szCs w:val="21"/>
                <w:lang w:val="en-US" w:eastAsia="zh-CN" w:bidi="ar-SA"/>
              </w:rPr>
              <w:t xml:space="preserve">  </w:t>
            </w:r>
            <w:r>
              <w:rPr>
                <w:rFonts w:hint="eastAsia" w:hAnsi="Arial"/>
                <w:b/>
                <w:sz w:val="24"/>
              </w:rPr>
              <w:t>用户特殊注意事项：</w:t>
            </w:r>
          </w:p>
        </w:tc>
        <w:tc>
          <w:tcPr>
            <w:tcW w:w="6277" w:type="dxa"/>
            <w:tcBorders>
              <w:top w:val="dotted" w:color="auto" w:sz="4" w:space="0"/>
              <w:left w:val="dotted" w:color="auto" w:sz="4" w:space="0"/>
              <w:bottom w:val="single" w:color="auto" w:sz="4" w:space="0"/>
            </w:tcBorders>
            <w:vAlign w:val="center"/>
          </w:tcPr>
          <w:p w14:paraId="130CA99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</w:rPr>
              <w:t>非危险货物。</w:t>
            </w:r>
          </w:p>
          <w:p w14:paraId="2658AC3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sz w:val="24"/>
              </w:rPr>
            </w:pPr>
            <w:r>
              <w:rPr>
                <w:rFonts w:hint="eastAsia" w:hAnsi="Arial"/>
                <w:sz w:val="24"/>
                <w:lang w:val="en-US" w:eastAsia="zh-CN"/>
              </w:rPr>
              <w:t>避免</w:t>
            </w:r>
            <w:r>
              <w:rPr>
                <w:rFonts w:hint="eastAsia" w:hAnsi="Arial"/>
                <w:sz w:val="24"/>
              </w:rPr>
              <w:t>温度高于</w:t>
            </w:r>
            <w:r>
              <w:rPr>
                <w:sz w:val="24"/>
              </w:rPr>
              <w:t>+</w:t>
            </w:r>
            <w:r>
              <w:rPr>
                <w:rFonts w:hint="eastAsia"/>
                <w:sz w:val="24"/>
                <w:lang w:val="en-US" w:eastAsia="zh-CN"/>
              </w:rPr>
              <w:t>35</w:t>
            </w:r>
            <w:r>
              <w:rPr>
                <w:rFonts w:hint="eastAsia"/>
                <w:sz w:val="24"/>
              </w:rPr>
              <w:t>℃，温度不可低于</w:t>
            </w:r>
            <w:r>
              <w:rPr>
                <w:rFonts w:hint="eastAsia"/>
                <w:sz w:val="24"/>
                <w:lang w:val="en-US" w:eastAsia="zh-CN"/>
              </w:rPr>
              <w:t>+</w:t>
            </w:r>
            <w:r>
              <w:rPr>
                <w:sz w:val="24"/>
              </w:rPr>
              <w:t>5</w:t>
            </w:r>
            <w:r>
              <w:rPr>
                <w:rFonts w:hint="eastAsia"/>
                <w:sz w:val="24"/>
              </w:rPr>
              <w:t>℃。</w:t>
            </w:r>
          </w:p>
          <w:p w14:paraId="504BEA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00" w:lineRule="auto"/>
              <w:ind w:left="34" w:right="480"/>
              <w:jc w:val="left"/>
              <w:textAlignment w:val="auto"/>
              <w:rPr>
                <w:b/>
                <w:sz w:val="24"/>
              </w:rPr>
            </w:pPr>
            <w:r>
              <w:rPr>
                <w:rFonts w:hint="eastAsia"/>
                <w:sz w:val="24"/>
              </w:rPr>
              <w:t>远离食物、酸和碱。</w:t>
            </w:r>
          </w:p>
        </w:tc>
      </w:tr>
    </w:tbl>
    <w:p w14:paraId="7D7B3500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50F9C8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bottom w:val="single" w:color="auto" w:sz="4" w:space="0"/>
              <w:tl2br w:val="nil"/>
              <w:tr2bl w:val="nil"/>
            </w:tcBorders>
            <w:shd w:val="clear" w:color="auto" w:fill="D9D9D9"/>
          </w:tcPr>
          <w:p w14:paraId="333712D5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15. </w:t>
            </w:r>
            <w:r>
              <w:rPr>
                <w:rFonts w:hint="eastAsia"/>
                <w:b/>
                <w:sz w:val="24"/>
              </w:rPr>
              <w:t>法规信息</w:t>
            </w:r>
          </w:p>
        </w:tc>
      </w:tr>
      <w:tr w14:paraId="4F8DFE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0" w:hRule="atLeast"/>
        </w:trPr>
        <w:tc>
          <w:tcPr>
            <w:tcW w:w="9781" w:type="dxa"/>
            <w:tcBorders>
              <w:top w:val="single" w:color="auto" w:sz="4" w:space="0"/>
              <w:bottom w:val="dotted" w:color="auto" w:sz="4" w:space="0"/>
            </w:tcBorders>
            <w:vAlign w:val="center"/>
          </w:tcPr>
          <w:p w14:paraId="0076445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物质或混合物的相关安全、健康和环保法律法规</w:t>
            </w:r>
          </w:p>
        </w:tc>
      </w:tr>
      <w:tr w14:paraId="3667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0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3E3DA5C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其它的规定：</w:t>
            </w:r>
          </w:p>
        </w:tc>
      </w:tr>
      <w:tr w14:paraId="7EC7D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1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59F4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/>
                <w:bCs/>
                <w:kern w:val="0"/>
                <w:sz w:val="24"/>
              </w:rPr>
            </w:pPr>
            <w:r>
              <w:rPr>
                <w:rFonts w:hint="eastAsia" w:cs="Arial"/>
                <w:b/>
                <w:bCs/>
                <w:kern w:val="0"/>
                <w:sz w:val="24"/>
              </w:rPr>
              <w:t>符合下列法规要求：</w:t>
            </w:r>
          </w:p>
        </w:tc>
      </w:tr>
      <w:tr w14:paraId="49C1F3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79BB84B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危险化学品安全管理条例，国务院令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591</w:t>
            </w:r>
            <w:r>
              <w:rPr>
                <w:rFonts w:hint="eastAsia" w:cs="Arial"/>
                <w:bCs/>
                <w:kern w:val="0"/>
                <w:sz w:val="24"/>
              </w:rPr>
              <w:t>号</w:t>
            </w:r>
          </w:p>
        </w:tc>
      </w:tr>
      <w:tr w14:paraId="1634E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14529E3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GB/T 16483 </w:t>
            </w:r>
            <w:r>
              <w:rPr>
                <w:rFonts w:hint="eastAsia" w:cs="Arial"/>
                <w:bCs/>
                <w:kern w:val="0"/>
                <w:sz w:val="24"/>
              </w:rPr>
              <w:t>化学品安全技术说明书内容和项目顺序</w:t>
            </w:r>
          </w:p>
        </w:tc>
      </w:tr>
      <w:tr w14:paraId="383D9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2E97D1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13690 </w:t>
            </w:r>
            <w:r>
              <w:rPr>
                <w:rFonts w:hint="eastAsia" w:cs="Arial"/>
                <w:bCs/>
                <w:kern w:val="0"/>
                <w:sz w:val="24"/>
              </w:rPr>
              <w:t>化学品分类和危险性公示通则</w:t>
            </w:r>
          </w:p>
        </w:tc>
      </w:tr>
      <w:tr w14:paraId="59FB40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  <w:bottom w:val="dotted" w:color="auto" w:sz="4" w:space="0"/>
            </w:tcBorders>
            <w:vAlign w:val="center"/>
          </w:tcPr>
          <w:p w14:paraId="5747FF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cs="Arial"/>
                <w:bCs/>
                <w:kern w:val="0"/>
                <w:sz w:val="24"/>
              </w:rPr>
              <w:t xml:space="preserve">GB </w:t>
            </w: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30000.2-29 化学品分类和标签规范</w:t>
            </w:r>
          </w:p>
        </w:tc>
      </w:tr>
      <w:tr w14:paraId="76C5C6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8" w:hRule="atLeast"/>
        </w:trPr>
        <w:tc>
          <w:tcPr>
            <w:tcW w:w="9781" w:type="dxa"/>
            <w:tcBorders>
              <w:top w:val="dotted" w:color="auto" w:sz="4" w:space="0"/>
            </w:tcBorders>
            <w:vAlign w:val="center"/>
          </w:tcPr>
          <w:p w14:paraId="25F66D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hint="default" w:eastAsia="宋体" w:cs="Arial"/>
                <w:bCs/>
                <w:kern w:val="0"/>
                <w:sz w:val="24"/>
                <w:lang w:val="en-US" w:eastAsia="zh-CN"/>
              </w:rPr>
            </w:pPr>
            <w:r>
              <w:rPr>
                <w:rFonts w:hint="eastAsia" w:cs="Arial"/>
                <w:bCs/>
                <w:kern w:val="0"/>
                <w:sz w:val="24"/>
                <w:lang w:val="en-US" w:eastAsia="zh-CN"/>
              </w:rPr>
              <w:t>GB 15258 化学品安全标签编写规定</w:t>
            </w:r>
          </w:p>
        </w:tc>
      </w:tr>
    </w:tbl>
    <w:p w14:paraId="732CB0C7">
      <w:pPr>
        <w:spacing w:line="300" w:lineRule="auto"/>
        <w:ind w:right="480"/>
        <w:rPr>
          <w:sz w:val="24"/>
        </w:rPr>
      </w:pPr>
    </w:p>
    <w:tbl>
      <w:tblPr>
        <w:tblStyle w:val="4"/>
        <w:tblW w:w="9781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81"/>
      </w:tblGrid>
      <w:tr w14:paraId="2CB9F0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9781" w:type="dxa"/>
            <w:tcBorders>
              <w:top w:val="single" w:color="auto" w:sz="4" w:space="0"/>
              <w:bottom w:val="single" w:color="auto" w:sz="4" w:space="0"/>
            </w:tcBorders>
            <w:shd w:val="clear" w:color="auto" w:fill="D9D9D9"/>
            <w:vAlign w:val="top"/>
          </w:tcPr>
          <w:p w14:paraId="507596F8">
            <w:pPr>
              <w:keepNext/>
              <w:spacing w:line="300" w:lineRule="auto"/>
              <w:ind w:right="480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16. </w:t>
            </w:r>
            <w:r>
              <w:rPr>
                <w:rFonts w:hint="eastAsia"/>
                <w:b/>
                <w:sz w:val="24"/>
              </w:rPr>
              <w:t>其他信息</w:t>
            </w:r>
          </w:p>
        </w:tc>
      </w:tr>
      <w:tr w14:paraId="43164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781" w:type="dxa"/>
            <w:tcBorders>
              <w:top w:val="nil"/>
              <w:bottom w:val="single" w:color="auto" w:sz="4" w:space="0"/>
            </w:tcBorders>
            <w:vAlign w:val="top"/>
          </w:tcPr>
          <w:p w14:paraId="3C8BDE5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/>
              <w:spacing w:line="300" w:lineRule="auto"/>
              <w:jc w:val="left"/>
              <w:textAlignment w:val="auto"/>
              <w:rPr>
                <w:rFonts w:cs="Arial"/>
                <w:bCs/>
                <w:kern w:val="0"/>
                <w:sz w:val="24"/>
              </w:rPr>
            </w:pPr>
            <w:r>
              <w:rPr>
                <w:rFonts w:hint="eastAsia" w:cs="Arial"/>
                <w:bCs/>
                <w:kern w:val="0"/>
                <w:sz w:val="24"/>
              </w:rPr>
              <w:t>就我们所掌握的知识信息，截止本安全技术说明书发布之日，它提供的资料是正确的。所提供的信息仅仅作为安全处理，使用，生产，储存，运输，处置和排放的指导书，而不是一份担保或品质说明书。本资料只针对所指定的具体物料，而对这种物料与其它物料混合使用或在其它制程中使用的情况，则未必有效（除非在文本中有特别说明）。</w:t>
            </w:r>
          </w:p>
        </w:tc>
      </w:tr>
    </w:tbl>
    <w:p w14:paraId="76B17033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2503" w:right="1077" w:bottom="1418" w:left="1077" w:header="851" w:footer="73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tbl>
    <w:tblPr>
      <w:tblStyle w:val="5"/>
      <w:tblW w:w="9968" w:type="dxa"/>
      <w:tblInd w:w="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4984"/>
      <w:gridCol w:w="4984"/>
    </w:tblGrid>
    <w:tr w14:paraId="417E9E79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rPr>
        <w:trHeight w:val="566" w:hRule="atLeast"/>
      </w:trPr>
      <w:tc>
        <w:tcPr>
          <w:tcW w:w="4984" w:type="dxa"/>
          <w:vAlign w:val="center"/>
        </w:tcPr>
        <w:p w14:paraId="46D85E13">
          <w:pPr>
            <w:spacing w:line="0" w:lineRule="atLeast"/>
            <w:rPr>
              <w:kern w:val="0"/>
              <w:sz w:val="21"/>
              <w:szCs w:val="21"/>
            </w:rPr>
          </w:pPr>
          <w:r>
            <w:rPr>
              <w:rFonts w:hint="eastAsia"/>
              <w:kern w:val="0"/>
              <w:sz w:val="21"/>
              <w:szCs w:val="21"/>
            </w:rPr>
            <w:t>广州冠志新材料科技有限公司 P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EA</w:t>
          </w:r>
          <w:r>
            <w:rPr>
              <w:rFonts w:hint="eastAsia"/>
              <w:kern w:val="0"/>
              <w:sz w:val="21"/>
              <w:szCs w:val="21"/>
            </w:rPr>
            <w:t>-</w:t>
          </w:r>
          <w:r>
            <w:rPr>
              <w:rFonts w:hint="eastAsia"/>
              <w:kern w:val="0"/>
              <w:sz w:val="21"/>
              <w:szCs w:val="21"/>
              <w:lang w:val="en-US" w:eastAsia="zh-CN"/>
            </w:rPr>
            <w:t>4139</w:t>
          </w:r>
          <w:r>
            <w:rPr>
              <w:rFonts w:hint="eastAsia"/>
              <w:kern w:val="0"/>
              <w:sz w:val="21"/>
              <w:szCs w:val="21"/>
            </w:rPr>
            <w:t>-MSDS</w:t>
          </w:r>
        </w:p>
      </w:tc>
      <w:tc>
        <w:tcPr>
          <w:tcW w:w="4984" w:type="dxa"/>
        </w:tcPr>
        <w:p w14:paraId="32B3FF4C">
          <w:pPr>
            <w:ind w:firstLine="8730" w:firstLineChars="4850"/>
            <w:jc w:val="right"/>
            <w:rPr>
              <w:kern w:val="0"/>
              <w:sz w:val="20"/>
            </w:rPr>
          </w:pPr>
          <w:r>
            <w:rPr>
              <w:rFonts w:ascii="Arial" w:eastAsia="楷体_GB2312"/>
              <w:color w:val="7F7F7F"/>
              <w:kern w:val="0"/>
              <w:sz w:val="18"/>
              <w:szCs w:val="18"/>
            </w:rPr>
            <w:t>P修订日期：2026年08月05日  </w:t>
          </w:r>
        </w:p>
      </w:tc>
    </w:tr>
    <w:tr w14:paraId="2040E823">
      <w:tblPrEx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4984" w:type="dxa"/>
        </w:tcPr>
        <w:p w14:paraId="410F45E5">
          <w:pPr>
            <w:pStyle w:val="2"/>
            <w:rPr>
              <w:kern w:val="0"/>
              <w:sz w:val="21"/>
              <w:szCs w:val="21"/>
            </w:rPr>
          </w:pPr>
        </w:p>
      </w:tc>
      <w:tc>
        <w:tcPr>
          <w:tcW w:w="4984" w:type="dxa"/>
        </w:tcPr>
        <w:p w14:paraId="43E50451">
          <w:pPr>
            <w:pStyle w:val="2"/>
            <w:jc w:val="right"/>
            <w:rPr>
              <w:kern w:val="0"/>
              <w:sz w:val="24"/>
              <w:szCs w:val="24"/>
            </w:rPr>
          </w:pP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PAGE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3</w:t>
          </w:r>
          <w:r>
            <w:rPr>
              <w:rFonts w:ascii="Arial" w:eastAsia="楷体_GB2312"/>
              <w:kern w:val="0"/>
            </w:rPr>
            <w:fldChar w:fldCharType="end"/>
          </w:r>
          <w:r>
            <w:rPr>
              <w:rFonts w:ascii="Arial" w:eastAsia="楷体_GB2312"/>
              <w:kern w:val="0"/>
            </w:rPr>
            <w:t xml:space="preserve"> / </w:t>
          </w:r>
          <w:r>
            <w:rPr>
              <w:rFonts w:ascii="Arial" w:eastAsia="楷体_GB2312"/>
              <w:kern w:val="0"/>
            </w:rPr>
            <w:fldChar w:fldCharType="begin"/>
          </w:r>
          <w:r>
            <w:rPr>
              <w:rFonts w:ascii="Arial" w:eastAsia="楷体_GB2312"/>
              <w:kern w:val="0"/>
            </w:rPr>
            <w:instrText xml:space="preserve"> NUMPAGES  </w:instrText>
          </w:r>
          <w:r>
            <w:rPr>
              <w:rFonts w:ascii="Arial" w:eastAsia="楷体_GB2312"/>
              <w:kern w:val="0"/>
            </w:rPr>
            <w:fldChar w:fldCharType="separate"/>
          </w:r>
          <w:r>
            <w:rPr>
              <w:rFonts w:ascii="Arial" w:eastAsia="楷体_GB2312"/>
              <w:kern w:val="0"/>
            </w:rPr>
            <w:t>5</w:t>
          </w:r>
          <w:r>
            <w:rPr>
              <w:rFonts w:ascii="Arial" w:eastAsia="楷体_GB2312"/>
              <w:kern w:val="0"/>
            </w:rPr>
            <w:fldChar w:fldCharType="end"/>
          </w:r>
        </w:p>
      </w:tc>
    </w:tr>
  </w:tbl>
  <w:p w14:paraId="00CCFC91">
    <w:pPr>
      <w:pStyle w:val="2"/>
      <w:rPr>
        <w:sz w:val="24"/>
        <w:szCs w:val="24"/>
      </w:rPr>
    </w:pPr>
    <w:r>
      <w:rPr>
        <w:rFonts w:hint="eastAsia"/>
        <w:sz w:val="24"/>
        <w:szCs w:val="24"/>
      </w:rPr>
      <w:t xml:space="preserve">                                             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9A8188">
    <w:pPr>
      <w:pStyle w:val="2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658BE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68B4F50">
    <w:pPr>
      <w:tabs>
        <w:tab w:val="left" w:pos="360"/>
      </w:tabs>
      <w:ind w:left="202" w:hanging="202" w:hangingChars="56"/>
      <w:jc w:val="center"/>
      <w:rPr>
        <w:rFonts w:cs="Arial" w:asciiTheme="majorEastAsia" w:hAnsiTheme="majorEastAsia" w:eastAsiaTheme="majorEastAsia"/>
        <w:b/>
        <w:sz w:val="44"/>
        <w:szCs w:val="44"/>
      </w:rPr>
    </w:pPr>
    <w:r>
      <w:rPr>
        <w:rFonts w:ascii="Arial" w:hAnsi="Arial" w:eastAsia="楷体_GB2312" w:cs="Arial"/>
        <w:b/>
        <w:sz w:val="36"/>
        <w:szCs w:val="36"/>
      </w:rPr>
      <w:t xml:space="preserve"> </w:t>
    </w:r>
    <w:r>
      <w:rPr>
        <w:rFonts w:hint="eastAsia" w:cs="Arial" w:asciiTheme="majorEastAsia" w:hAnsiTheme="majorEastAsia" w:eastAsiaTheme="majorEastAsia"/>
        <w:b/>
        <w:sz w:val="44"/>
        <w:szCs w:val="44"/>
      </w:rPr>
      <w:t>物料安全数据表</w:t>
    </w:r>
  </w:p>
  <w:p w14:paraId="5120AA12">
    <w:pPr>
      <w:wordWrap w:val="0"/>
      <w:jc w:val="right"/>
      <w:rPr>
        <w:rFonts w:hint="eastAsia" w:ascii="Arial" w:hAnsi="Arial" w:eastAsia="楷体_GB2312"/>
        <w:sz w:val="18"/>
        <w:szCs w:val="18"/>
        <w:lang w:eastAsia="zh-CN"/>
      </w:rPr>
    </w:pPr>
    <w:r>
      <w:rPr>
        <w:rFonts w:ascii="Arial" w:eastAsia="楷体_GB2312"/>
        <w:sz w:val="18"/>
        <w:szCs w:val="18"/>
      </w:rPr>
      <w:t>Version：V1.</w:t>
    </w:r>
    <w:r>
      <w:rPr>
        <w:rFonts w:hint="eastAsia" w:ascii="Arial" w:eastAsia="楷体_GB2312"/>
        <w:sz w:val="18"/>
        <w:szCs w:val="18"/>
        <w:lang w:val="en-US" w:eastAsia="zh-CN"/>
      </w:rPr>
      <w:t>0</w:t>
    </w:r>
  </w:p>
  <w:tbl>
    <w:tblPr>
      <w:tblStyle w:val="4"/>
      <w:tblW w:w="9781" w:type="dxa"/>
      <w:tblInd w:w="108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  <w:tblCellMar>
        <w:top w:w="0" w:type="dxa"/>
        <w:left w:w="108" w:type="dxa"/>
        <w:bottom w:w="0" w:type="dxa"/>
        <w:right w:w="108" w:type="dxa"/>
      </w:tblCellMar>
    </w:tblPr>
    <w:tblGrid>
      <w:gridCol w:w="9781"/>
    </w:tblGrid>
    <w:tr w14:paraId="53277F5F">
      <w:tblPrEx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CellMar>
          <w:top w:w="0" w:type="dxa"/>
          <w:left w:w="108" w:type="dxa"/>
          <w:bottom w:w="0" w:type="dxa"/>
          <w:right w:w="108" w:type="dxa"/>
        </w:tblCellMar>
      </w:tblPrEx>
      <w:tc>
        <w:tcPr>
          <w:tcW w:w="9781" w:type="dxa"/>
          <w:shd w:val="clear" w:color="auto" w:fill="D9D9D9"/>
        </w:tcPr>
        <w:p w14:paraId="5D2FB420">
          <w:pPr>
            <w:jc w:val="center"/>
            <w:rPr>
              <w:rFonts w:hint="default" w:eastAsia="楷体_GB2312"/>
              <w:b/>
              <w:sz w:val="36"/>
              <w:szCs w:val="36"/>
              <w:lang w:val="en-US" w:eastAsia="zh-CN"/>
            </w:rPr>
          </w:pPr>
          <w:r>
            <w:rPr>
              <w:rFonts w:hint="eastAsia" w:eastAsia="楷体_GB2312"/>
              <w:b/>
              <w:sz w:val="36"/>
              <w:szCs w:val="36"/>
              <w:lang w:val="en-US" w:eastAsia="zh-CN"/>
            </w:rPr>
            <w:t>PEA-4139</w:t>
          </w:r>
        </w:p>
      </w:tc>
    </w:tr>
  </w:tbl>
  <w:p w14:paraId="24682DAE">
    <w:pPr>
      <w:jc w:val="left"/>
      <w:rPr>
        <w:rFonts w:ascii="Arial" w:hAnsi="Arial" w:eastAsia="楷体_GB2312"/>
        <w:color w:val="7F7F7F"/>
        <w:sz w:val="24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30D546A">
    <w:pPr>
      <w:pStyle w:val="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F6AC03">
    <w:pPr>
      <w:pStyle w:val="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E267157"/>
    <w:multiLevelType w:val="multilevel"/>
    <w:tmpl w:val="6E267157"/>
    <w:lvl w:ilvl="0" w:tentative="0">
      <w:start w:val="7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abstractNum w:abstractNumId="1">
    <w:nsid w:val="793A78E0"/>
    <w:multiLevelType w:val="multilevel"/>
    <w:tmpl w:val="793A78E0"/>
    <w:lvl w:ilvl="0" w:tentative="0">
      <w:start w:val="3"/>
      <w:numFmt w:val="decimal"/>
      <w:lvlText w:val="%1"/>
      <w:lvlJc w:val="left"/>
      <w:pPr>
        <w:tabs>
          <w:tab w:val="left" w:pos="540"/>
        </w:tabs>
        <w:ind w:left="540" w:hanging="540"/>
      </w:pPr>
      <w:rPr>
        <w:rFonts w:hint="default" w:cs="Times New Roman"/>
      </w:rPr>
    </w:lvl>
    <w:lvl w:ilvl="1" w:tentative="0">
      <w:start w:val="1"/>
      <w:numFmt w:val="decimal"/>
      <w:lvlText w:val="%1.%2"/>
      <w:lvlJc w:val="left"/>
      <w:pPr>
        <w:tabs>
          <w:tab w:val="left" w:pos="540"/>
        </w:tabs>
        <w:ind w:left="540" w:hanging="540"/>
      </w:pPr>
      <w:rPr>
        <w:rFonts w:hint="default" w:cs="Times New Roman"/>
        <w:b/>
        <w:sz w:val="21"/>
        <w:szCs w:val="21"/>
      </w:rPr>
    </w:lvl>
    <w:lvl w:ilvl="2" w:tentative="0">
      <w:start w:val="1"/>
      <w:numFmt w:val="decimal"/>
      <w:lvlText w:val="%1.%2.%3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3" w:tentative="0">
      <w:start w:val="1"/>
      <w:numFmt w:val="decimal"/>
      <w:lvlText w:val="%1.%2.%3.%4"/>
      <w:lvlJc w:val="left"/>
      <w:pPr>
        <w:tabs>
          <w:tab w:val="left" w:pos="720"/>
        </w:tabs>
        <w:ind w:left="720" w:hanging="720"/>
      </w:pPr>
      <w:rPr>
        <w:rFonts w:hint="default" w:cs="Times New Roman"/>
      </w:rPr>
    </w:lvl>
    <w:lvl w:ilvl="4" w:tentative="0">
      <w:start w:val="1"/>
      <w:numFmt w:val="decimal"/>
      <w:lvlText w:val="%1.%2.%3.%4.%5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5" w:tentative="0">
      <w:start w:val="1"/>
      <w:numFmt w:val="decimal"/>
      <w:lvlText w:val="%1.%2.%3.%4.%5.%6"/>
      <w:lvlJc w:val="left"/>
      <w:pPr>
        <w:tabs>
          <w:tab w:val="left" w:pos="1080"/>
        </w:tabs>
        <w:ind w:left="1080" w:hanging="1080"/>
      </w:pPr>
      <w:rPr>
        <w:rFonts w:hint="default" w:cs="Times New Roman"/>
      </w:rPr>
    </w:lvl>
    <w:lvl w:ilvl="6" w:tentative="0">
      <w:start w:val="1"/>
      <w:numFmt w:val="decimal"/>
      <w:lvlText w:val="%1.%2.%3.%4.%5.%6.%7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7" w:tentative="0">
      <w:start w:val="1"/>
      <w:numFmt w:val="decimal"/>
      <w:lvlText w:val="%1.%2.%3.%4.%5.%6.%7.%8"/>
      <w:lvlJc w:val="left"/>
      <w:pPr>
        <w:tabs>
          <w:tab w:val="left" w:pos="1440"/>
        </w:tabs>
        <w:ind w:left="1440" w:hanging="1440"/>
      </w:pPr>
      <w:rPr>
        <w:rFonts w:hint="default" w:cs="Times New Roman"/>
      </w:rPr>
    </w:lvl>
    <w:lvl w:ilvl="8" w:tentative="0">
      <w:start w:val="1"/>
      <w:numFmt w:val="decimal"/>
      <w:lvlText w:val="%1.%2.%3.%4.%5.%6.%7.%8.%9"/>
      <w:lvlJc w:val="left"/>
      <w:pPr>
        <w:tabs>
          <w:tab w:val="left" w:pos="1800"/>
        </w:tabs>
        <w:ind w:left="1800" w:hanging="1800"/>
      </w:pPr>
      <w:rPr>
        <w:rFonts w:hint="default" w:cs="Times New Roman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ZDkyZDE2MzdmZjRiMjBhMjYzZmE3MGFmMTY4N2ZhOTAifQ=="/>
  </w:docVars>
  <w:rsids>
    <w:rsidRoot w:val="00172A27"/>
    <w:rsid w:val="00054D63"/>
    <w:rsid w:val="000A232D"/>
    <w:rsid w:val="000F335C"/>
    <w:rsid w:val="00140D6D"/>
    <w:rsid w:val="00147ACA"/>
    <w:rsid w:val="0019663D"/>
    <w:rsid w:val="0022163F"/>
    <w:rsid w:val="00247204"/>
    <w:rsid w:val="00266D33"/>
    <w:rsid w:val="002854A9"/>
    <w:rsid w:val="002B1D4A"/>
    <w:rsid w:val="002C46D8"/>
    <w:rsid w:val="002E1F13"/>
    <w:rsid w:val="003044A2"/>
    <w:rsid w:val="00306061"/>
    <w:rsid w:val="00347806"/>
    <w:rsid w:val="0035626C"/>
    <w:rsid w:val="00376077"/>
    <w:rsid w:val="00382604"/>
    <w:rsid w:val="003F27B9"/>
    <w:rsid w:val="004004B5"/>
    <w:rsid w:val="004148B3"/>
    <w:rsid w:val="00452D86"/>
    <w:rsid w:val="00456CDB"/>
    <w:rsid w:val="004A3278"/>
    <w:rsid w:val="004D25D8"/>
    <w:rsid w:val="005F347E"/>
    <w:rsid w:val="00606522"/>
    <w:rsid w:val="006273B6"/>
    <w:rsid w:val="006321EB"/>
    <w:rsid w:val="006861E3"/>
    <w:rsid w:val="00701FAF"/>
    <w:rsid w:val="00853404"/>
    <w:rsid w:val="008D3B67"/>
    <w:rsid w:val="00A21619"/>
    <w:rsid w:val="00A26D98"/>
    <w:rsid w:val="00A72AB2"/>
    <w:rsid w:val="00AB7215"/>
    <w:rsid w:val="00AB7498"/>
    <w:rsid w:val="00B20B21"/>
    <w:rsid w:val="00B500B7"/>
    <w:rsid w:val="00BA1097"/>
    <w:rsid w:val="00BA2442"/>
    <w:rsid w:val="00BB25C3"/>
    <w:rsid w:val="00BE10CE"/>
    <w:rsid w:val="00C45C80"/>
    <w:rsid w:val="00CD38D2"/>
    <w:rsid w:val="00CE6BE2"/>
    <w:rsid w:val="00D548B3"/>
    <w:rsid w:val="00D75E1E"/>
    <w:rsid w:val="00DA78A9"/>
    <w:rsid w:val="00DB72E1"/>
    <w:rsid w:val="00E34CDB"/>
    <w:rsid w:val="00E87E33"/>
    <w:rsid w:val="00EC2C76"/>
    <w:rsid w:val="00F9634F"/>
    <w:rsid w:val="01147F10"/>
    <w:rsid w:val="01BE5C10"/>
    <w:rsid w:val="01C0201B"/>
    <w:rsid w:val="02E743F3"/>
    <w:rsid w:val="033E5FE6"/>
    <w:rsid w:val="03CD3581"/>
    <w:rsid w:val="04546492"/>
    <w:rsid w:val="054E7A62"/>
    <w:rsid w:val="057704A1"/>
    <w:rsid w:val="058D2BD0"/>
    <w:rsid w:val="0828271D"/>
    <w:rsid w:val="083F1AB1"/>
    <w:rsid w:val="084A705D"/>
    <w:rsid w:val="08686F25"/>
    <w:rsid w:val="08B149E8"/>
    <w:rsid w:val="0B542115"/>
    <w:rsid w:val="0D9A4456"/>
    <w:rsid w:val="0DB33389"/>
    <w:rsid w:val="0E2B745F"/>
    <w:rsid w:val="0F50181E"/>
    <w:rsid w:val="0F586F34"/>
    <w:rsid w:val="108F6167"/>
    <w:rsid w:val="10B417CB"/>
    <w:rsid w:val="10EB3F15"/>
    <w:rsid w:val="114255F5"/>
    <w:rsid w:val="119B2680"/>
    <w:rsid w:val="120678DF"/>
    <w:rsid w:val="15440D4D"/>
    <w:rsid w:val="15812A45"/>
    <w:rsid w:val="1631571A"/>
    <w:rsid w:val="17133359"/>
    <w:rsid w:val="18276A54"/>
    <w:rsid w:val="19626851"/>
    <w:rsid w:val="1A483201"/>
    <w:rsid w:val="1AF15BD5"/>
    <w:rsid w:val="1D0E4DCA"/>
    <w:rsid w:val="1DCD4FA0"/>
    <w:rsid w:val="1EC5648C"/>
    <w:rsid w:val="1EEC29D4"/>
    <w:rsid w:val="20353F57"/>
    <w:rsid w:val="22703398"/>
    <w:rsid w:val="24976248"/>
    <w:rsid w:val="24E542B2"/>
    <w:rsid w:val="25003FDE"/>
    <w:rsid w:val="25407D16"/>
    <w:rsid w:val="25D47A2C"/>
    <w:rsid w:val="26034AD3"/>
    <w:rsid w:val="265A6D6B"/>
    <w:rsid w:val="26A03147"/>
    <w:rsid w:val="26BC7D90"/>
    <w:rsid w:val="27782269"/>
    <w:rsid w:val="28E700C4"/>
    <w:rsid w:val="2A307897"/>
    <w:rsid w:val="2A3A21AE"/>
    <w:rsid w:val="2AA34CC0"/>
    <w:rsid w:val="2D362858"/>
    <w:rsid w:val="30481C3A"/>
    <w:rsid w:val="30673AA9"/>
    <w:rsid w:val="30F37B0B"/>
    <w:rsid w:val="316117B5"/>
    <w:rsid w:val="331F3435"/>
    <w:rsid w:val="33302E2E"/>
    <w:rsid w:val="33E971EE"/>
    <w:rsid w:val="35B66EA3"/>
    <w:rsid w:val="35F7037B"/>
    <w:rsid w:val="3604449F"/>
    <w:rsid w:val="36327236"/>
    <w:rsid w:val="377E5D58"/>
    <w:rsid w:val="385E6AE5"/>
    <w:rsid w:val="389D13B9"/>
    <w:rsid w:val="390D26CF"/>
    <w:rsid w:val="39E842B9"/>
    <w:rsid w:val="3C0C4A9A"/>
    <w:rsid w:val="3D8B4287"/>
    <w:rsid w:val="3E1D5959"/>
    <w:rsid w:val="3E2F0C3C"/>
    <w:rsid w:val="405D22BA"/>
    <w:rsid w:val="418C67F6"/>
    <w:rsid w:val="418E2B7C"/>
    <w:rsid w:val="45AA6F6F"/>
    <w:rsid w:val="45DA7122"/>
    <w:rsid w:val="464D6940"/>
    <w:rsid w:val="47EC5F75"/>
    <w:rsid w:val="484164CF"/>
    <w:rsid w:val="484A4868"/>
    <w:rsid w:val="484F48F4"/>
    <w:rsid w:val="4B7137DB"/>
    <w:rsid w:val="4D46517C"/>
    <w:rsid w:val="4DC32E11"/>
    <w:rsid w:val="4EB83E58"/>
    <w:rsid w:val="4EEE4EC9"/>
    <w:rsid w:val="5065451B"/>
    <w:rsid w:val="52230864"/>
    <w:rsid w:val="53132108"/>
    <w:rsid w:val="54693859"/>
    <w:rsid w:val="551C16C9"/>
    <w:rsid w:val="55F26890"/>
    <w:rsid w:val="5647069A"/>
    <w:rsid w:val="569B6D5B"/>
    <w:rsid w:val="59BF1A65"/>
    <w:rsid w:val="5A2C7C0A"/>
    <w:rsid w:val="5A547CF5"/>
    <w:rsid w:val="5AC002EC"/>
    <w:rsid w:val="5B0F647C"/>
    <w:rsid w:val="5B8104D4"/>
    <w:rsid w:val="5BF41AFE"/>
    <w:rsid w:val="5C411A0F"/>
    <w:rsid w:val="5C8D1598"/>
    <w:rsid w:val="5D6C3433"/>
    <w:rsid w:val="60781EF7"/>
    <w:rsid w:val="60E4057C"/>
    <w:rsid w:val="637D0A8C"/>
    <w:rsid w:val="63C56334"/>
    <w:rsid w:val="63F60908"/>
    <w:rsid w:val="64B21DE4"/>
    <w:rsid w:val="658845F7"/>
    <w:rsid w:val="67010372"/>
    <w:rsid w:val="67456812"/>
    <w:rsid w:val="68EE4C77"/>
    <w:rsid w:val="6A200D50"/>
    <w:rsid w:val="6B9E64FB"/>
    <w:rsid w:val="6C8D0DE8"/>
    <w:rsid w:val="6D197F5B"/>
    <w:rsid w:val="6D78129B"/>
    <w:rsid w:val="6EC16FCD"/>
    <w:rsid w:val="6ED91EE1"/>
    <w:rsid w:val="6F9326E7"/>
    <w:rsid w:val="720B23B8"/>
    <w:rsid w:val="748F427D"/>
    <w:rsid w:val="762320A0"/>
    <w:rsid w:val="763B629A"/>
    <w:rsid w:val="7652592F"/>
    <w:rsid w:val="77990D78"/>
    <w:rsid w:val="78D9034E"/>
    <w:rsid w:val="79CA3CEB"/>
    <w:rsid w:val="7B0C2D7D"/>
    <w:rsid w:val="7B89575E"/>
    <w:rsid w:val="7B8B5C4F"/>
    <w:rsid w:val="7CD5616B"/>
    <w:rsid w:val="7E3C523D"/>
    <w:rsid w:val="7E9C256A"/>
    <w:rsid w:val="7EA7786C"/>
    <w:rsid w:val="7F727691"/>
    <w:rsid w:val="EFDF87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8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semiHidden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5">
    <w:name w:val="Table Grid"/>
    <w:basedOn w:val="4"/>
    <w:qFormat/>
    <w:uiPriority w:val="59"/>
    <w:pPr>
      <w:widowControl w:val="0"/>
      <w:jc w:val="both"/>
    </w:pPr>
    <w:rPr>
      <w:rFonts w:ascii="Times New Roman" w:hAnsi="Times New Roman" w:eastAsia="宋体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7">
    <w:name w:val="页眉 Char"/>
    <w:basedOn w:val="6"/>
    <w:link w:val="3"/>
    <w:semiHidden/>
    <w:qFormat/>
    <w:uiPriority w:val="99"/>
    <w:rPr>
      <w:sz w:val="18"/>
      <w:szCs w:val="18"/>
    </w:rPr>
  </w:style>
  <w:style w:type="character" w:customStyle="1" w:styleId="8">
    <w:name w:val="页脚 Char"/>
    <w:basedOn w:val="6"/>
    <w:link w:val="2"/>
    <w:qFormat/>
    <w:uiPriority w:val="99"/>
    <w:rPr>
      <w:sz w:val="18"/>
      <w:szCs w:val="18"/>
    </w:rPr>
  </w:style>
  <w:style w:type="paragraph" w:customStyle="1" w:styleId="9">
    <w:name w:val="列出段落1"/>
    <w:basedOn w:val="1"/>
    <w:qFormat/>
    <w:uiPriority w:val="34"/>
    <w:pPr>
      <w:ind w:firstLine="420" w:firstLineChars="200"/>
    </w:pPr>
  </w:style>
  <w:style w:type="paragraph" w:styleId="10">
    <w:name w:val="List Paragraph"/>
    <w:basedOn w:val="1"/>
    <w:qFormat/>
    <w:uiPriority w:val="34"/>
    <w:pPr>
      <w:ind w:firstLine="420" w:firstLineChars="200"/>
    </w:pPr>
  </w:style>
  <w:style w:type="paragraph" w:customStyle="1" w:styleId="11">
    <w:name w:val="Default"/>
    <w:unhideWhenUsed/>
    <w:qFormat/>
    <w:uiPriority w:val="99"/>
    <w:pPr>
      <w:widowControl w:val="0"/>
      <w:autoSpaceDE w:val="0"/>
      <w:autoSpaceDN w:val="0"/>
      <w:adjustRightInd w:val="0"/>
      <w:spacing w:beforeLines="0" w:afterLines="0"/>
    </w:pPr>
    <w:rPr>
      <w:rFonts w:hint="eastAsia" w:ascii="黑体" w:hAnsi="黑体" w:eastAsia="黑体" w:cs="Times New Roman"/>
      <w:color w:val="000000"/>
      <w:sz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2792</Words>
  <Characters>3235</Characters>
  <Lines>18</Lines>
  <Paragraphs>5</Paragraphs>
  <TotalTime>0</TotalTime>
  <ScaleCrop>false</ScaleCrop>
  <LinksUpToDate>false</LinksUpToDate>
  <CharactersWithSpaces>3444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2015-06-04T10:34:00Z</dcterms:created>
  <dc:creator>Windows 用户</dc:creator>
  <cp:lastModifiedBy>陈子钦</cp:lastModifiedBy>
  <cp:lastPrinted>2015-06-04T15:20:00Z</cp:lastPrinted>
  <dcterms:modified xsi:type="dcterms:W3CDTF">2026-09-03T08:38:55Z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20AAA7BD947541F49093F44D20F2B294_13</vt:lpwstr>
  </property>
  <property fmtid="{D5CDD505-2E9C-101B-9397-08002B2CF9AE}" pid="4" name="KSOTemplateDocerSaveRecord">
    <vt:lpwstr>eyJoZGlkIjoiMGU0NzVjNDQ1NTM2YThmMjJkODA1NWYxODU0ZDMyMDUiLCJ1c2VySWQiOiIxNjgxODg1MTYwIn0=</vt:lpwstr>
  </property>
</Properties>
</file>