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ind w:start="1360" w:end="0"/>
        <w:rPr>
          <w:rFonts w:ascii="宋体" w:hAnsi="宋体" w:cs="宋体"/>
          <w:b/>
          <w:sz w:val="28"/>
        </w:rPr>
      </w:pPr>
      <w:bookmarkStart w:id="0" w:name="page1"/>
      <w:bookmarkEnd w:id="0"/>
      <w:r>
        <w:rPr>
          <w:rFonts w:eastAsia="微软雅黑" w:cs="微软雅黑" w:ascii="微软雅黑" w:hAnsi="微软雅黑"/>
          <w:b/>
          <w:sz w:val="24"/>
          <w:szCs w:val="24"/>
        </w:rPr>
        <w:t>Guangzhou</w:t>
      </w:r>
      <w:r>
        <w:rPr>
          <w:rFonts w:eastAsia="微软雅黑" w:cs="微软雅黑" w:hint="eastAsia" w:ascii="微软雅黑" w:hAnsi="微软雅黑"/>
          <w:b/>
          <w:sz w:val="24"/>
          <w:szCs w:val="24"/>
        </w:rPr>
        <w:t xml:space="preserve"> Guanzhi New Material Technology Limited Company</w:t>
      </w:r>
    </w:p>
    <w:p>
      <w:pPr>
        <w:pStyle w:val="Normal"/>
        <w:spacing w:lineRule="exact" w:line="43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ind w:start="1340" w:end="0"/>
        <w:rPr>
          <w:rFonts w:ascii="Times New Roman" w:hAnsi="Times New Roman" w:eastAsia="Times New Roman" w:cs="Times New Roman"/>
          <w:sz w:val="18"/>
        </w:rPr>
      </w:pPr>
      <w:r>
        <w:rPr>
          <w:rFonts w:eastAsia="微软雅黑" w:cs="Times New Roman" w:hint="eastAsia" w:ascii="微软雅黑" w:hAnsi="微软雅黑"/>
          <w:sz w:val="18"/>
        </w:rPr>
        <w:t>Tel</w:t>
      </w:r>
      <w:r>
        <w:rPr>
          <w:rFonts w:ascii="微软雅黑" w:hAnsi="微软雅黑" w:cs="Times New Roman" w:hint="eastAsia" w:eastAsia="微软雅黑"/>
          <w:sz w:val="18"/>
        </w:rPr>
        <w:t>：</w:t>
      </w:r>
      <w:r>
        <w:rPr>
          <w:rFonts w:eastAsia="Times New Roman" w:cs="Times New Roman"/>
          <w:sz w:val="18"/>
        </w:rPr>
        <w:t>020-82567990</w:t>
      </w:r>
      <w:r>
        <w:rPr>
          <w:rFonts w:eastAsia="Times New Roman" w:cs="Times New Roman"/>
        </w:rPr>
        <w:tab/>
      </w:r>
      <w:r>
        <w:rPr>
          <w:rFonts w:eastAsia="微软雅黑" w:cs="Times New Roman" w:hint="eastAsia" w:ascii="微软雅黑" w:hAnsi="微软雅黑"/>
          <w:sz w:val="18"/>
        </w:rPr>
        <w:t>Fax</w:t>
      </w:r>
      <w:r>
        <w:rPr>
          <w:rFonts w:ascii="微软雅黑" w:hAnsi="微软雅黑" w:cs="Times New Roman" w:hint="eastAsia" w:eastAsia="微软雅黑"/>
          <w:sz w:val="18"/>
        </w:rPr>
        <w:t>：</w:t>
      </w:r>
      <w:r>
        <w:rPr>
          <w:rFonts w:eastAsia="Times New Roman" w:cs="Times New Roman"/>
          <w:sz w:val="18"/>
        </w:rPr>
        <w:t>020-32214789</w:t>
      </w:r>
    </w:p>
    <w:p>
      <w:pPr>
        <w:pStyle w:val="Normal"/>
        <w:spacing w:lineRule="exact" w:line="14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w:drawing>
          <wp:anchor distT="0" distB="0" distL="114935" distR="114935" simplePos="0" relativeHeight="3" behindDoc="0" locked="0" layoutInCell="0" allowOverlap="1">
            <wp:simplePos x="0" y="0"/>
            <wp:positionH relativeFrom="column">
              <wp:posOffset>-48895</wp:posOffset>
            </wp:positionH>
            <wp:positionV relativeFrom="paragraph">
              <wp:posOffset>-396875</wp:posOffset>
            </wp:positionV>
            <wp:extent cx="857250" cy="533400"/>
            <wp:effectExtent l="0" t="0" r="0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42" t="-68" r="-42" b="-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ind w:start="1340" w:end="0"/>
        <w:rPr>
          <w:rFonts w:ascii="Times New Roman" w:hAnsi="Times New Roman" w:eastAsia="Times New Roman" w:cs="Times New Roman" w:hint="eastAsia"/>
          <w:sz w:val="18"/>
        </w:rPr>
      </w:pPr>
      <w:r>
        <w:rPr>
          <w:rFonts w:eastAsia="微软雅黑" w:cs="Times New Roman" w:hint="eastAsia" w:ascii="微软雅黑" w:hAnsi="微软雅黑"/>
          <w:sz w:val="18"/>
        </w:rPr>
        <w:t>Address</w:t>
      </w:r>
      <w:r>
        <w:rPr>
          <w:rFonts w:ascii="微软雅黑" w:hAnsi="微软雅黑" w:cs="Times New Roman" w:hint="eastAsia" w:eastAsia="微软雅黑"/>
          <w:sz w:val="18"/>
        </w:rPr>
        <w:t>：</w:t>
      </w:r>
      <w:r>
        <w:rPr>
          <w:rFonts w:eastAsia="Times New Roman" w:cs="Times New Roman" w:hint="eastAsia"/>
          <w:sz w:val="18"/>
        </w:rPr>
        <w:t>Room 1106, Block A of Guangzhou International Business Incubator, No. 3 Juquan Road, Huangpu District, Guangzhou City</w:t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rPr>
          <w:rFonts w:ascii="Times New Roman" w:hAnsi="Times New Roman" w:eastAsia="Times New Roman" w:cs="Times New Roman"/>
          <w:sz w:val="18"/>
        </w:rPr>
      </w:pPr>
      <w:r>
        <w:rPr>
          <w:rFonts w:eastAsia="Times New Roman" w:cs="Times New Roman" w:hint="eastAsia"/>
          <w:sz w:val="18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2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tLeast" w:line="0"/>
        <w:rPr>
          <w:rFonts w:ascii="Times New Roman" w:hAnsi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ind w:start="3020" w:end="0"/>
        <w:rPr>
          <w:rFonts w:ascii="Times New Roman" w:hAnsi="Times New Roman" w:cs="Times New Roman" w:hint="eastAsia"/>
          <w:b/>
          <w:sz w:val="32"/>
        </w:rPr>
      </w:pPr>
      <w:r>
        <w:rPr>
          <w:rFonts w:ascii="Times New Roman" w:hAnsi="Times New Roman" w:cs="Times New Roman" w:hint="eastAsia"/>
          <w:b/>
          <w:sz w:val="32"/>
        </w:rPr>
        <w:t>水性环氧分散体</w:t>
      </w:r>
      <w:r>
        <w:rPr>
          <w:rFonts w:cs="Times New Roman" w:hint="eastAsia"/>
          <w:b/>
          <w:sz w:val="32"/>
        </w:rPr>
        <w:t>EP-1704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hint="eastAsia"/>
          <w:b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Characterization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Supply Form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Technical Data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/>
          <w:b/>
          <w:sz w:val="144"/>
          <w:szCs w:val="72"/>
        </w:rPr>
      </w:r>
    </w:p>
    <w:tbl>
      <w:tblPr>
        <w:tblW w:w="440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40"/>
        <w:gridCol w:w="2035"/>
        <w:gridCol w:w="1022"/>
        <w:gridCol w:w="3191"/>
      </w:tblGrid>
      <w:tr>
        <w:trPr>
          <w:trHeight w:val="274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b/>
                <w:bCs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Specification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Test Method</w:t>
            </w:r>
          </w:p>
        </w:tc>
      </w:tr>
      <w:tr>
        <w:trPr>
          <w:trHeight w:val="428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乳液</w:t>
            </w:r>
            <w:r>
              <w:rPr>
                <w:rFonts w:cs="宋体"/>
                <w:b w:val="false"/>
                <w:bCs w:val="false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环氧当量（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EEW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cs="宋体"/>
                <w:b w:val="false"/>
                <w:bCs w:val="false"/>
                <w:color w:val="000000"/>
                <w:kern w:val="0"/>
                <w:sz w:val="24"/>
                <w:szCs w:val="24"/>
              </w:rPr>
              <w:t>固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含量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/>
                <w:b w:val="false"/>
                <w:bCs w:val="false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PH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值</w:t>
            </w:r>
            <w:r>
              <w:rPr>
                <w:rFonts w:ascii="Times New Roman" w:hAnsi="Times New Roman" w:cs="Times New Roman"/>
                <w:b w:val="false"/>
                <w:bCs w:val="false"/>
                <w:color w:val="000000"/>
                <w:kern w:val="0"/>
                <w:sz w:val="24"/>
                <w:szCs w:val="24"/>
              </w:rPr>
              <w:t>（</w:t>
            </w:r>
            <w:r>
              <w:rPr>
                <w:rFonts w:cs="Times New Roman"/>
                <w:b w:val="false"/>
                <w:bCs w:val="false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ascii="Times New Roman" w:hAnsi="Times New Roman" w:cs="Times New Roman"/>
                <w:b w:val="false"/>
                <w:bCs w:val="false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 w:ascii="宋体" w:hAnsi="宋体"/>
                <w:b w:val="false"/>
                <w:bCs w:val="false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粘度（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Product features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spacing w:lineRule="exact" w:line="98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对配方设计的容忍度高，可直接用于色浆研磨。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Application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Storage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/>
          <w:sz w:val="24"/>
        </w:rPr>
        <w:t>5-</w:t>
      </w:r>
      <w:r>
        <w:rPr>
          <w:rFonts w:eastAsia="宋体" w:cs="Times New Roman" w:hint="eastAsia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eastAsia="宋体" w:cs="宋体" w:ascii="宋体" w:hAnsi="宋体"/>
          <w:sz w:val="24"/>
        </w:rPr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Courier New">
    <w:charset w:val="01"/>
    <w:family w:val="modern"/>
    <w:pitch w:val="default"/>
  </w:font>
  <w:font w:name="Liberation Sans">
    <w:altName w:val="Arial"/>
    <w:charset w:val="01"/>
    <w:family w:val="swiss"/>
    <w:pitch w:val="variable"/>
  </w:font>
  <w:font w:name="微软雅黑">
    <w:charset w:val="86"/>
    <w:family w:val="swiss"/>
    <w:pitch w:val="default"/>
  </w:font>
  <w:font w:name="宋体">
    <w:charset w:val="86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3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4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5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6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7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8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bidi="ar-SA" w:val="en-US" w:eastAsia="zh-CN"/>
    </w:rPr>
  </w:style>
  <w:style w:type="character" w:styleId="Style14">
    <w:name w:val="默认段落字体"/>
    <w:rPr/>
  </w:style>
  <w:style w:type="character" w:styleId="Style15">
    <w:name w:val="页脚 字符"/>
    <w:rPr>
      <w:sz w:val="18"/>
      <w:szCs w:val="18"/>
    </w:rPr>
  </w:style>
  <w:style w:type="character" w:styleId="Style16">
    <w:name w:val="页眉 字符"/>
    <w:rPr>
      <w:sz w:val="18"/>
      <w:szCs w:val="18"/>
    </w:rPr>
  </w:style>
  <w:style w:type="character" w:styleId="HTML">
    <w:name w:val="HTML 代码"/>
    <w:basedOn w:val="Style14"/>
    <w:rPr>
      <w:rFonts w:ascii="Courier New" w:hAnsi="Courier New" w:cs="Courier New"/>
      <w:sz w:val="20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Arial"/>
    </w:rPr>
  </w:style>
  <w:style w:type="paragraph" w:styleId="Style19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0">
    <w:name w:val="列表段落"/>
    <w:basedOn w:val="Normal"/>
    <w:pPr>
      <w:ind w:firstLineChars="200" w:startChars="0" w:start="0" w:endChars="0" w:end="0"/>
    </w:pPr>
    <w:rPr/>
  </w:style>
  <w:style w:type="paragraph" w:styleId="Style21">
    <w:name w:val="表格内容"/>
    <w:basedOn w:val="Normal"/>
    <w:pPr>
      <w:widowControl w:val="false"/>
      <w:suppressLineNumbers/>
    </w:pPr>
    <w:rPr/>
  </w:style>
  <w:style w:type="paragraph" w:styleId="Style22">
    <w:name w:val="表格标题"/>
    <w:basedOn w:val="Style21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2021-08-28T10:35:00Z</dcterms:created>
  <dc:creator>雨林永存</dc:creator>
  <dc:description/>
  <dc:language>zh-CN</dc:language>
  <cp:lastModifiedBy>陈子钦</cp:lastModifiedBy>
  <cp:lastPrinted>2022-04-01T10:10:00Z</cp:lastPrinted>
  <dcterms:modified xsi:type="dcterms:W3CDTF">2026-09-04T11:06:33Z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1495CC035AC1451997E4FF11078063A1_13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