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numPr>
                <w:ilvl w:val="0"/>
                <w:numId w:val="1"/>
              </w:num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/>
                <w:b/>
                <w:sz w:val="24"/>
              </w:rPr>
              <w:t>Chemical category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</w:t>
            </w:r>
            <w:r>
              <w:rPr>
                <w:rFonts w:hAnsi="Arial"/>
                <w:b/>
                <w:sz w:val="24"/>
              </w:rPr>
              <w:t>roduct use suggestions and restrictions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>upplier information: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Name of supplier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Supplier address: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Tel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Fax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numPr>
                <w:ilvl w:val="0"/>
                <w:numId w:val="0"/>
              </w:numPr>
              <w:spacing w:line="300" w:lineRule="auto"/>
              <w:ind w:right="480" w:right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hAnsi="Arial"/>
                <w:b/>
                <w:sz w:val="24"/>
              </w:rPr>
              <w:t>Hazards</w:t>
            </w:r>
            <w:r>
              <w:rPr>
                <w:rFonts w:hAnsi="Arial"/>
                <w:b/>
                <w:sz w:val="24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6558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</w:t>
            </w:r>
          </w:p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Classification：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hAnsi="Arial"/>
                <w:b/>
                <w:sz w:val="24"/>
              </w:rPr>
              <w:t>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3.2  </w:t>
            </w: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/>
                <w:b/>
                <w:sz w:val="24"/>
              </w:rPr>
              <w:t>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b/>
                <w:sz w:val="24"/>
              </w:rPr>
              <w:t>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6ED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Suitable extinguishing</w:t>
            </w:r>
          </w:p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23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Unsuitable extinguishing</w:t>
            </w:r>
          </w:p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E8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Special hazards </w:t>
            </w:r>
            <w:r>
              <w:rPr>
                <w:rFonts w:hint="eastAsia"/>
                <w:b/>
                <w:sz w:val="24"/>
                <w:lang w:val="en-US" w:eastAsia="zh-CN"/>
              </w:rPr>
              <w:t>of</w:t>
            </w:r>
          </w:p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substances or mixtures：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B36C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6.</w:t>
            </w:r>
            <w:r>
              <w:rPr>
                <w:b/>
                <w:sz w:val="24"/>
              </w:rPr>
              <w:t>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729B3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4FA2D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56EF71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CE602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7.</w:t>
            </w:r>
            <w:r>
              <w:rPr>
                <w:b/>
                <w:sz w:val="24"/>
              </w:rPr>
              <w:t>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8.</w:t>
            </w:r>
            <w:r>
              <w:rPr>
                <w:b/>
                <w:sz w:val="24"/>
              </w:rPr>
              <w:t>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4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Hand protection：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79" w:leftChars="228" w:firstLine="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9.</w:t>
            </w:r>
            <w:r>
              <w:rPr>
                <w:b/>
                <w:sz w:val="24"/>
              </w:rPr>
              <w:t>Physical and chemical properties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4C42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</w:t>
            </w:r>
          </w:p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9E7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log Pow (n-octanol/water</w:t>
            </w:r>
          </w:p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8F3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</w:t>
            </w:r>
          </w:p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2E78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</w:t>
            </w:r>
          </w:p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5DA7B6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10.</w:t>
            </w:r>
            <w:r>
              <w:rPr>
                <w:b/>
                <w:sz w:val="24"/>
              </w:rPr>
              <w:t>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1BC35B7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924"/>
        <w:gridCol w:w="75"/>
        <w:gridCol w:w="4263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11.</w:t>
            </w:r>
            <w:r>
              <w:rPr>
                <w:b/>
                <w:sz w:val="24"/>
              </w:rPr>
              <w:t>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Oral: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Inhalatio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n</w:t>
            </w:r>
            <w:r>
              <w:rPr>
                <w:rFonts w:hint="eastAsia" w:hAnsi="Arial"/>
                <w:b/>
                <w:sz w:val="24"/>
              </w:rPr>
              <w:t>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Dermal: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eye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2E5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hAnsi="Arial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Fertility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Teratogenicity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In vitro genotoxicity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  <w:bookmarkStart w:id="0" w:name="_GoBack"/>
            <w:bookmarkEnd w:id="0"/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ACDD9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</w:t>
            </w:r>
          </w:p>
          <w:p w14:paraId="79F413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toxicity (single/repeated</w:t>
            </w:r>
          </w:p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exposure)：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12.</w:t>
            </w:r>
            <w:r>
              <w:rPr>
                <w:b/>
                <w:sz w:val="24"/>
              </w:rPr>
              <w:t>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F583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</w:t>
            </w:r>
          </w:p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9" w:leftChars="229" w:hanging="198" w:hangingChars="8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13.</w:t>
            </w:r>
            <w:r>
              <w:rPr>
                <w:b/>
                <w:sz w:val="24"/>
              </w:rPr>
              <w:t>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14.</w:t>
            </w:r>
            <w:r>
              <w:rPr>
                <w:b/>
                <w:sz w:val="24"/>
              </w:rPr>
              <w:t>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3A79978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15.</w:t>
            </w:r>
            <w:r>
              <w:rPr>
                <w:b/>
                <w:sz w:val="24"/>
              </w:rPr>
              <w:t>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Complies with the following regulations：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FDBD15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16.</w:t>
            </w:r>
            <w:r>
              <w:rPr>
                <w:b/>
                <w:sz w:val="24"/>
              </w:rPr>
              <w:t>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18A7590F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6E4C7E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2443</Words>
  <Characters>4830</Characters>
  <Lines>18</Lines>
  <Paragraphs>5</Paragraphs>
  <TotalTime>6</TotalTime>
  <ScaleCrop>false</ScaleCrop>
  <LinksUpToDate>false</LinksUpToDate>
  <CharactersWithSpaces>5184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2026-09-03T07:34:49Z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