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88EE865">
      <w:pPr>
        <w:spacing w:line="0" w:lineRule="atLeast"/>
        <w:ind w:left="1360"/>
        <w:rPr>
          <w:rFonts w:ascii="宋体" w:hAnsi="宋体"/>
          <w:b/>
          <w:sz w:val="28"/>
        </w:rPr>
      </w:pPr>
      <w:bookmarkStart w:id="0" w:name="page1"/>
      <w:bookmarkEnd w:id="0"/>
      <w:r>
        <w:rPr>
          <w:rFonts w:ascii="微软雅黑" w:hAnsi="微软雅黑" w:eastAsia="微软雅黑"/>
          <w:b/>
          <w:sz w:val="24"/>
          <w:szCs w:val="24"/>
        </w:rPr>
        <w:t>Guangzhou</w:t>
      </w:r>
      <w:r>
        <w:rPr>
          <w:rFonts w:hint="eastAsia" w:ascii="微软雅黑" w:hAnsi="微软雅黑" w:eastAsia="微软雅黑"/>
          <w:b/>
          <w:sz w:val="24"/>
          <w:szCs w:val="24"/>
        </w:rPr>
        <w:t xml:space="preserve"> Guanzhi New Material Technology Limited Company</w:t>
      </w:r>
    </w:p>
    <w:p w14:paraId="7E18C16D">
      <w:pPr>
        <w:spacing w:line="43" w:lineRule="exact"/>
        <w:rPr>
          <w:rFonts w:ascii="Times New Roman" w:hAnsi="Times New Roman" w:eastAsia="Times New Roman"/>
          <w:sz w:val="24"/>
        </w:rPr>
      </w:pPr>
    </w:p>
    <w:p w14:paraId="1038129A">
      <w:pPr>
        <w:tabs>
          <w:tab w:val="left" w:pos="3360"/>
        </w:tabs>
        <w:spacing w:line="0" w:lineRule="atLeast"/>
        <w:ind w:left="1340"/>
        <w:rPr>
          <w:rFonts w:ascii="Times New Roman" w:hAnsi="Times New Roman" w:eastAsia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Tel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020-82567990</w:t>
      </w:r>
      <w:r>
        <w:rPr>
          <w:rFonts w:ascii="Times New Roman" w:hAnsi="Times New Roman" w:eastAsia="Times New Roman"/>
        </w:rPr>
        <w:tab/>
      </w:r>
      <w:r>
        <w:rPr>
          <w:rFonts w:hint="eastAsia" w:ascii="微软雅黑" w:hAnsi="微软雅黑" w:eastAsia="微软雅黑" w:cs="Times New Roman"/>
          <w:sz w:val="18"/>
          <w:lang w:val="en-US" w:eastAsia="zh-CN"/>
        </w:rPr>
        <w:t>Fax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020-32214789</w:t>
      </w:r>
    </w:p>
    <w:p w14:paraId="1F6B767D">
      <w:pPr>
        <w:spacing w:line="14" w:lineRule="exact"/>
        <w:rPr>
          <w:rFonts w:ascii="Times New Roman" w:hAnsi="Times New Roman" w:eastAsia="Times New Roman"/>
          <w:sz w:val="24"/>
        </w:rPr>
      </w:pPr>
      <w:r>
        <w:rPr>
          <w:rFonts w:ascii="宋体" w:hAnsi="宋体"/>
        </w:rPr>
        <w:pict>
          <v:shape id="图片 1" o:spid="_x0000_s1030" o:spt="75" alt="xcllogodign" type="#_x0000_t75" style="position:absolute;left:0pt;margin-left:-3.85pt;margin-top:-31.25pt;height:42pt;width:67.5pt;mso-wrap-distance-bottom:0pt;mso-wrap-distance-left:9pt;mso-wrap-distance-right:9pt;mso-wrap-distance-top:0pt;z-index:251660288;mso-width-relative:page;mso-height-relative:page;" filled="f" o:preferrelative="t" stroked="f" coordsize="21600,21600">
            <v:path/>
            <v:fill on="f" focussize="0,0"/>
            <v:stroke on="f"/>
            <v:imagedata r:id="rId4" o:title=""/>
            <o:lock v:ext="edit" aspectratio="t"/>
            <w10:wrap type="square"/>
          </v:shape>
        </w:pict>
      </w:r>
    </w:p>
    <w:p w14:paraId="578F89B3">
      <w:pPr>
        <w:tabs>
          <w:tab w:val="left" w:pos="3360"/>
        </w:tabs>
        <w:spacing w:line="0" w:lineRule="atLeast"/>
        <w:ind w:left="1340"/>
        <w:rPr>
          <w:rFonts w:hint="eastAsia" w:ascii="Times New Roman" w:hAnsi="Times New Roman" w:eastAsia="Times New Roman" w:cs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Address：</w:t>
      </w:r>
      <w:r>
        <w:rPr>
          <w:rFonts w:hint="eastAsia" w:ascii="Times New Roman" w:hAnsi="Times New Roman" w:eastAsia="Times New Roman" w:cs="Times New Roman"/>
          <w:sz w:val="18"/>
        </w:rPr>
        <w:t>Room 1106, Block A of Guangzhou International Business Incubator, No. 3 Juquan Road, Huangpu District, Guangzhou City</w:t>
      </w:r>
    </w:p>
    <w:p w14:paraId="048D5382">
      <w:pPr>
        <w:tabs>
          <w:tab w:val="left" w:pos="3360"/>
        </w:tabs>
        <w:spacing w:line="0" w:lineRule="atLeast"/>
        <w:rPr>
          <w:rFonts w:ascii="Times New Roman" w:hAnsi="Times New Roman" w:eastAsia="Times New Roman" w:cs="Times New Roman"/>
          <w:sz w:val="18"/>
        </w:rPr>
      </w:pPr>
      <w:r>
        <w:rPr>
          <w:rFonts w:ascii="Times New Roman" w:hAnsi="Times New Roman" w:eastAsia="Times New Roman" w:cs="Times New Roman"/>
          <w:sz w:val="18"/>
        </w:rPr>
        <w:pict>
          <v:line id="_x0000_s1028" o:spid="_x0000_s1028" o:spt="20" style="position:absolute;left:0pt;margin-left:-1.75pt;margin-top:13.1pt;height:0pt;width:484.85pt;z-index:-251657216;mso-width-relative:page;mso-height-relative:page;" coordsize="21600,21600" o:allowincell="f">
            <v:path arrowok="t"/>
            <v:fill focussize="0,0"/>
            <v:stroke weight="0.71992125984252pt"/>
            <v:imagedata o:title=""/>
            <o:lock v:ext="edit"/>
          </v:line>
        </w:pict>
      </w:r>
    </w:p>
    <w:p w14:paraId="4EE8B0BD">
      <w:pPr>
        <w:spacing w:line="0" w:lineRule="atLeast"/>
        <w:rPr>
          <w:rFonts w:ascii="Times New Roman" w:hAnsi="Times New Roman"/>
          <w:sz w:val="24"/>
        </w:rPr>
      </w:pPr>
    </w:p>
    <w:p w14:paraId="68706A7C">
      <w:pPr>
        <w:spacing w:line="0" w:lineRule="atLeast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>Aliphatic Polyurethane Adhesive Resin PU-1001</w:t>
      </w:r>
    </w:p>
    <w:p w14:paraId="5D304D5D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77881A80">
      <w:pPr>
        <w:spacing w:line="0" w:lineRule="atLeast" w:before="10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Description</w:t>
      </w:r>
    </w:p>
    <w:p w14:paraId="0B0D8178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38345DC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PU-1001 is an aliphatic anionic waterborne polyurethane dispersion with strong adhesion, used to improve interlayer adhesion.</w:t>
      </w:r>
    </w:p>
    <w:p w14:paraId="1C71F483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Supply Form</w:t>
      </w:r>
    </w:p>
    <w:p w14:paraId="4FEDC469">
      <w:pPr>
        <w:tabs>
          <w:tab w:val="left" w:pos="832"/>
        </w:tabs>
        <w:spacing w:line="0" w:lineRule="atLeast"/>
        <w:rPr>
          <w:rFonts w:ascii="Times New Roman" w:hAnsi="Times New Roman" w:cs="Times New Roman"/>
          <w:b/>
          <w:sz w:val="10"/>
          <w:szCs w:val="2"/>
          <w:lang w:eastAsia="zh-CN"/>
        </w:rPr>
      </w:pPr>
      <w:r>
        <w:rPr>
          <w:rFonts w:ascii="Times New Roman" w:hAnsi="Times New Roman" w:cs="Times New Roman"/>
          <w:b/>
          <w:sz w:val="13"/>
          <w:szCs w:val="6"/>
          <w:lang w:eastAsia="zh-CN"/>
        </w:rPr>
        <w:tab/>
      </w:r>
    </w:p>
    <w:p w14:paraId="0561D5F0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Approx. 22% solids aqueous dispersion.</w:t>
      </w:r>
    </w:p>
    <w:p w14:paraId="4D409606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Technical Data</w:t>
      </w:r>
    </w:p>
    <w:p w14:paraId="4FE0BC59">
      <w:pPr>
        <w:spacing w:line="213" w:lineRule="exact"/>
        <w:rPr>
          <w:rFonts w:ascii="Times New Roman" w:hAnsi="Times New Roman" w:cs="Times New Roman"/>
          <w:sz w:val="13"/>
          <w:szCs w:val="8"/>
        </w:rPr>
      </w:pPr>
    </w:p>
    <w:tbl>
      <w:tblPr>
        <w:tblStyle w:val="4"/>
        <w:tblW w:w="4458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99"/>
        <w:gridCol w:w="2025"/>
        <w:gridCol w:w="816"/>
        <w:gridCol w:w="2764"/>
      </w:tblGrid>
      <w:tr w14:paraId="1A3160A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vAlign w:val="center"/>
          </w:tcPr>
          <w:p w14:paraId="7ADDC71D">
            <w:pPr>
              <w:spacing w:line="0" w:lineRule="atLeast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Item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5804EF6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Index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top"/>
          </w:tcPr>
          <w:p w14:paraId="34E64DCB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Unit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3AF73DC5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Test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method</w:t>
            </w:r>
          </w:p>
        </w:tc>
      </w:tr>
      <w:tr w14:paraId="78C768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BA411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Appearance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BFA10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Translucent liquid with blue light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E7AADA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F089CE2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Visual</w:t>
            </w:r>
          </w:p>
        </w:tc>
      </w:tr>
      <w:tr w14:paraId="04554AE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FBFA2AB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Solid content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0F829C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22±1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4E5656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A7B5920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150°C, 30 min, forced-air oven</w:t>
            </w:r>
          </w:p>
        </w:tc>
      </w:tr>
      <w:tr w14:paraId="6903A6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8674C5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Viscosity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6CE5AF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&lt;500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5247559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mPa·s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72E25AF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2794-2022</w:t>
            </w:r>
          </w:p>
        </w:tc>
      </w:tr>
      <w:tr w14:paraId="14E619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6E15D9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pH value (diluted 1:10 in water)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695F7D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7.0-9.0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BACF03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46E7BC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 6920-86</w:t>
            </w:r>
          </w:p>
        </w:tc>
      </w:tr>
      <w:tr w14:paraId="6E214B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D5B3223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Density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974ED6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Approx. 1.06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960BD7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g/cm³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323A6AD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4472-2011</w:t>
            </w:r>
          </w:p>
        </w:tc>
      </w:tr>
    </w:tbl>
    <w:p w14:paraId="6E88BE65">
      <w:pPr>
        <w:spacing w:line="207" w:lineRule="exact"/>
        <w:rPr>
          <w:rFonts w:ascii="Times New Roman" w:hAnsi="Times New Roman" w:cs="Times New Roman"/>
          <w:sz w:val="16"/>
          <w:szCs w:val="11"/>
        </w:rPr>
      </w:pPr>
    </w:p>
    <w:p w14:paraId="5AA0BCE2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Features</w:t>
      </w:r>
    </w:p>
    <w:p w14:paraId="5728D9B9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A24847E">
      <w:pPr>
        <w:numPr>
          <w:ilvl w:val="0"/>
          <w:numId w:val="1"/>
        </w:numPr>
        <w:spacing w:line="280" w:lineRule="auto" w:before="0" w:after="60"/>
        <w:ind w:left="840" w:leftChars="0" w:right="0" w:rightChars="0" w:hanging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Very soft film formation;</w:t>
      </w:r>
    </w:p>
    <w:p w14:paraId="5A4BE25B">
      <w:pPr>
        <w:numPr>
          <w:ilvl w:val="0"/>
          <w:numId w:val="1"/>
        </w:numPr>
        <w:spacing w:line="280" w:lineRule="auto" w:before="0" w:after="60"/>
        <w:ind w:left="840" w:leftChars="0" w:right="0" w:rightChars="0" w:hanging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Excellent adhesion;</w:t>
      </w:r>
    </w:p>
    <w:p w14:paraId="7BDAFD77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Application</w:t>
      </w:r>
    </w:p>
    <w:p w14:paraId="6F1B3A72">
      <w:pPr>
        <w:spacing w:line="0" w:lineRule="atLeast"/>
        <w:rPr>
          <w:rFonts w:ascii="Times New Roman" w:hAnsi="Times New Roman" w:cs="Times New Roman"/>
          <w:b/>
          <w:sz w:val="13"/>
          <w:szCs w:val="6"/>
        </w:rPr>
      </w:pPr>
    </w:p>
    <w:p w14:paraId="07B5F7C6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PU-1001 forms a very soft film with strong adhesion, suitable for use alone as a tie coat or blended with other materials to improve interlayer adhesion and physical properties without increasing coating stiffness.</w:t>
      </w:r>
    </w:p>
    <w:p w14:paraId="599CEA9B">
      <w:pPr>
        <w:spacing w:line="324" w:lineRule="auto"/>
        <w:ind w:left="0" w:leftChars="0" w:right="0" w:rightChars="0"/>
        <w:rPr>
          <w:rFonts w:ascii="Times New Roman" w:hAnsi="Times New Roman" w:cs="Times New Roman"/>
          <w:sz w:val="4"/>
          <w:szCs w:val="2"/>
        </w:rPr>
      </w:pPr>
    </w:p>
    <w:p w14:paraId="7A6BEBD0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Storage</w:t>
      </w:r>
      <w:bookmarkStart w:id="1" w:name="_GoBack"/>
      <w:bookmarkEnd w:id="1"/>
    </w:p>
    <w:p w14:paraId="1262FEEC">
      <w:pPr>
        <w:spacing w:line="0" w:lineRule="atLeast"/>
        <w:rPr>
          <w:rFonts w:ascii="Times New Roman" w:hAnsi="Times New Roman" w:cs="Times New Roman"/>
          <w:b/>
          <w:sz w:val="8"/>
          <w:szCs w:val="4"/>
        </w:rPr>
      </w:pPr>
    </w:p>
    <w:p w14:paraId="08792D32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Store in a ventilated, dry area at 5-35°C; protect from freezing. Shelf life is 6 months from shipment. Products older than 6 months should be re-evaluated before use.</w:t>
      </w:r>
    </w:p>
    <w:sectPr>
      <w:pgSz w:w="11900" w:h="16840"/>
      <w:pgMar w:top="852" w:right="1120" w:bottom="1440" w:left="114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2EADC4"/>
    <w:multiLevelType w:val="singleLevel"/>
    <w:tmpl w:val="CB2EADC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  <w:rsids>
    <w:rsidRoot w:val="00C33E44"/>
    <w:rsid w:val="0002717B"/>
    <w:rsid w:val="000C2496"/>
    <w:rsid w:val="000C25F7"/>
    <w:rsid w:val="00117C21"/>
    <w:rsid w:val="0012765D"/>
    <w:rsid w:val="00220036"/>
    <w:rsid w:val="00240C59"/>
    <w:rsid w:val="002B64CA"/>
    <w:rsid w:val="00325ABA"/>
    <w:rsid w:val="00352507"/>
    <w:rsid w:val="0037193C"/>
    <w:rsid w:val="003D512B"/>
    <w:rsid w:val="003F7441"/>
    <w:rsid w:val="004237DB"/>
    <w:rsid w:val="00452A5A"/>
    <w:rsid w:val="004601D0"/>
    <w:rsid w:val="004B6F14"/>
    <w:rsid w:val="004C0DC0"/>
    <w:rsid w:val="004C6219"/>
    <w:rsid w:val="004D3C8F"/>
    <w:rsid w:val="00502942"/>
    <w:rsid w:val="005762FB"/>
    <w:rsid w:val="00592DD8"/>
    <w:rsid w:val="005C0086"/>
    <w:rsid w:val="005C2493"/>
    <w:rsid w:val="005E6C3A"/>
    <w:rsid w:val="005F5319"/>
    <w:rsid w:val="00603AAF"/>
    <w:rsid w:val="006179F5"/>
    <w:rsid w:val="0066021B"/>
    <w:rsid w:val="00667E52"/>
    <w:rsid w:val="0068304A"/>
    <w:rsid w:val="00723816"/>
    <w:rsid w:val="0080620D"/>
    <w:rsid w:val="0082594B"/>
    <w:rsid w:val="00856C2B"/>
    <w:rsid w:val="008939F8"/>
    <w:rsid w:val="008B5A69"/>
    <w:rsid w:val="009265C4"/>
    <w:rsid w:val="0093077B"/>
    <w:rsid w:val="00991B73"/>
    <w:rsid w:val="009A455D"/>
    <w:rsid w:val="009F7A47"/>
    <w:rsid w:val="00A13301"/>
    <w:rsid w:val="00A14FCD"/>
    <w:rsid w:val="00A21284"/>
    <w:rsid w:val="00A55642"/>
    <w:rsid w:val="00A80A98"/>
    <w:rsid w:val="00AA2B8A"/>
    <w:rsid w:val="00AA457C"/>
    <w:rsid w:val="00AE6F17"/>
    <w:rsid w:val="00B12370"/>
    <w:rsid w:val="00B92BAF"/>
    <w:rsid w:val="00BD211A"/>
    <w:rsid w:val="00C33E44"/>
    <w:rsid w:val="00C7066C"/>
    <w:rsid w:val="00CF78F9"/>
    <w:rsid w:val="00D02B3E"/>
    <w:rsid w:val="00DD3F8B"/>
    <w:rsid w:val="00DD4703"/>
    <w:rsid w:val="00DE1435"/>
    <w:rsid w:val="00E31700"/>
    <w:rsid w:val="00E60CF5"/>
    <w:rsid w:val="00EC01AE"/>
    <w:rsid w:val="00EC0FB4"/>
    <w:rsid w:val="00EE67C4"/>
    <w:rsid w:val="00F331D7"/>
    <w:rsid w:val="00F46140"/>
    <w:rsid w:val="00FF0BCB"/>
    <w:rsid w:val="00FF4087"/>
    <w:rsid w:val="02FD0E09"/>
    <w:rsid w:val="0419123A"/>
    <w:rsid w:val="05E72A0F"/>
    <w:rsid w:val="0A501BF7"/>
    <w:rsid w:val="0A5735C9"/>
    <w:rsid w:val="0C195DBC"/>
    <w:rsid w:val="0C275C1C"/>
    <w:rsid w:val="17060F5D"/>
    <w:rsid w:val="1BB7107A"/>
    <w:rsid w:val="2D1D1F97"/>
    <w:rsid w:val="38AC5D28"/>
    <w:rsid w:val="3B291E09"/>
    <w:rsid w:val="3B5B2FF5"/>
    <w:rsid w:val="3E7B3698"/>
    <w:rsid w:val="45FB59F5"/>
    <w:rsid w:val="4632285F"/>
    <w:rsid w:val="4B9969BD"/>
    <w:rsid w:val="4CED0114"/>
    <w:rsid w:val="4E9C430F"/>
    <w:rsid w:val="4F5E77C2"/>
    <w:rsid w:val="52306B25"/>
    <w:rsid w:val="52416CE1"/>
    <w:rsid w:val="5296167D"/>
    <w:rsid w:val="57000CBF"/>
    <w:rsid w:val="5BA75E7C"/>
    <w:rsid w:val="67913B43"/>
    <w:rsid w:val="68F6450C"/>
    <w:rsid w:val="6C5433E4"/>
    <w:rsid w:val="756E19B9"/>
    <w:rsid w:val="75E42C72"/>
    <w:rsid w:val="7F3F7DC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4">
    <w:name w:val="Normal Table"/>
    <w:unhideWhenUsed/>
    <w:qFormat/>
    <w:uiPriority w:val="99"/>
    <w:tblPr/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HTML Code"/>
    <w:basedOn w:val="5"/>
    <w:unhideWhenUsed/>
    <w:uiPriority w:val="99"/>
    <w:rPr>
      <w:rFonts w:ascii="Courier New" w:hAnsi="Courier New"/>
      <w:sz w:val="20"/>
    </w:rPr>
  </w:style>
  <w:style w:type="character" w:customStyle="1" w:styleId="7">
    <w:name w:val="页脚 字符"/>
    <w:link w:val="2"/>
    <w:uiPriority w:val="99"/>
    <w:rPr>
      <w:sz w:val="18"/>
      <w:szCs w:val="18"/>
    </w:rPr>
  </w:style>
  <w:style w:type="character" w:customStyle="1" w:styleId="8">
    <w:name w:val="页眉 字符"/>
    <w:link w:val="3"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0"/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223</Words>
  <Characters>1317</Characters>
  <Lines>4</Lines>
  <Paragraphs>1</Paragraphs>
  <TotalTime>0</TotalTime>
  <ScaleCrop>false</ScaleCrop>
  <LinksUpToDate>false</LinksUpToDate>
  <CharactersWithSpaces>1489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2021-08-28T02:35:00Z</dcterms:created>
  <dc:creator>雨林永存</dc:creator>
  <cp:lastModifiedBy>陈子钦</cp:lastModifiedBy>
  <cp:lastPrinted>2022-04-01T02:10:00Z</cp:lastPrinted>
  <dcterms:modified xsi:type="dcterms:W3CDTF">2026-09-14T09:13:20Z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866F0994D5494B87B1229B417481D03F_13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