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name：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Classification：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Label Elements：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Pictograms：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Signal Word：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Hazard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Precautionary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Physical and Chemical Hazards：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 type：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>General measures：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Ingestion：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Eye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Skin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Inhalation：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substances or mixtures：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>Measures for accidental leakage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precautions：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containment and cleaning up：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>Operation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Precautions for safe handling：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Conditions for safe storage：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341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2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Exposure controls：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Respiratory protection：</w:t>
            </w:r>
          </w:p>
        </w:tc>
        <w:tc>
          <w:tcPr>
            <w:tcW w:w="6341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protection：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Suitable material for protective gloves：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Butyl rubber – IIR：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Nitrile rubber – NBR：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Eye protection：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Body protection：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Engineering controls：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</w:tbl>
    <w:p w14:paraId="0FA51CC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Appearance：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 value：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Ionicity：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Initial boiling point：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Flammability：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pressure：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Relative vapour density：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Solubility in water：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partition coefficient)：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Ignition 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Dynamic viscosity：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Explosive properties：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Dust explosion class：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Solid content：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information：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Chemical stability：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Hazardous decomposition products：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Possible hazardous reactions：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Incompatible materials：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1BC35B7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>Toxicity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Acute toxicity：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skin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eye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Sensitization：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Mutagenicity：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Carcinogenicity：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Reproductive toxicity：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  <w:bookmarkStart w:id="0" w:name="_GoBack"/>
            <w:bookmarkEnd w:id="0"/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exposure)：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Aspiration hazard：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Additional information：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Ecotoxicity：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degradability：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Other adverse effects：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Disposal methods：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>Transportation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Road and rail transport：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Maritime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Air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Special precautions for user：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Other provisions：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Complies with the following regulations：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18A7590F">
      <w:pPr>
        <w:spacing w:before="0" w:after="0" w:line="20" w:lineRule="exact"/>
        <w:rPr>
          <w:sz w:val="2"/>
          <w:szCs w:val="2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2443</Words>
  <Characters>4830</Characters>
  <Lines>18</Lines>
  <Paragraphs>5</Paragraphs>
  <TotalTime>6</TotalTime>
  <ScaleCrop>false</ScaleCrop>
  <LinksUpToDate>false</LinksUpToDate>
  <CharactersWithSpaces>5184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2026-09-03T07:34:49Z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20AAA7BD947541F49093F44D20F2B294_13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