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numPr>
                <w:ilvl w:val="0"/>
                <w:numId w:val="1"/>
              </w:numPr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Identification of the substance/mixture and of the company/undertaking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Product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name: 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/>
                <w:b/>
                <w:sz w:val="24"/>
              </w:rPr>
              <w:t>Chemical category</w:t>
            </w:r>
            <w:r>
              <w:rPr>
                <w:rFonts w:hint="eastAsia" w:hAnsi="Arial"/>
                <w:b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A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P</w:t>
            </w:r>
            <w:r>
              <w:rPr>
                <w:rFonts w:hAnsi="Arial"/>
                <w:b/>
                <w:sz w:val="24"/>
              </w:rPr>
              <w:t>roduct use suggestions and restrictions</w:t>
            </w:r>
            <w:r>
              <w:rPr>
                <w:rFonts w:hint="eastAsia" w:hAnsi="Arial"/>
                <w:b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B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S</w:t>
            </w:r>
            <w:r>
              <w:rPr>
                <w:rFonts w:hAnsi="Arial" w:cs="Arial"/>
                <w:b/>
                <w:bCs/>
                <w:kern w:val="0"/>
                <w:sz w:val="24"/>
              </w:rPr>
              <w:t>upplier information: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Name of supplier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sz w:val="24"/>
                <w:szCs w:val="24"/>
                <w:lang w:val="en-US" w:eastAsia="zh-CN"/>
              </w:rPr>
              <w:t>C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Supplier address: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D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Tel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Ansi="Arial" w:cs="Arial"/>
                <w:b/>
                <w:bCs/>
                <w:kern w:val="0"/>
                <w:sz w:val="24"/>
              </w:rPr>
              <w:t>Fax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5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numPr>
                <w:ilvl w:val="0"/>
                <w:numId w:val="0"/>
              </w:numPr>
              <w:spacing w:line="300" w:lineRule="auto"/>
              <w:ind w:right="480" w:right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2.</w:t>
            </w:r>
            <w:r>
              <w:rPr>
                <w:rFonts w:hint="eastAsia" w:hAnsi="Arial"/>
                <w:b/>
                <w:sz w:val="24"/>
              </w:rPr>
              <w:t>Hazards</w:t>
            </w:r>
            <w:r>
              <w:rPr>
                <w:rFonts w:hAnsi="Arial"/>
                <w:b/>
                <w:sz w:val="24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Identification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Emergency Overview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65585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 Hazard</w:t>
            </w:r>
          </w:p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Classification: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E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GHS Label Elements: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F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GHS Pictograms: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G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Signal Word: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H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Hazard Statements: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 xml:space="preserve">Precautionary Statements: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00FB0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J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Physical and Chemical Hazards: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K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Health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L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M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N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O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P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Environmental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Q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Other Hazards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R</w:t>
            </w:r>
          </w:p>
        </w:tc>
      </w:tr>
    </w:tbl>
    <w:p w14:paraId="32D20AE8"/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single" w:color="auto" w:sz="4" w:space="0"/>
            </w:tcBorders>
            <w:shd w:val="clear" w:color="auto" w:fill="D9D9D9"/>
          </w:tcPr>
          <w:p w14:paraId="09B5699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3.</w:t>
            </w:r>
            <w:r>
              <w:rPr>
                <w:rFonts w:hint="eastAsia" w:hAnsi="Arial"/>
                <w:b/>
                <w:sz w:val="24"/>
              </w:rPr>
              <w:t>Composition/Information on Ingredients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3.1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 xml:space="preserve">Product type: </w:t>
            </w:r>
          </w:p>
        </w:tc>
        <w:tc>
          <w:tcPr>
            <w:tcW w:w="6262" w:type="dxa"/>
            <w:gridSpan w:val="2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leftChars="0" w:right="34" w:righ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3.2  </w:t>
            </w:r>
            <w:r>
              <w:rPr>
                <w:rFonts w:hint="eastAsia"/>
                <w:b/>
                <w:sz w:val="24"/>
              </w:rPr>
              <w:t>Ingredients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Chemical name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CAS NO.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rFonts w:hint="eastAsia"/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Concentration % (w/w)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5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4.</w:t>
            </w:r>
            <w:r>
              <w:rPr>
                <w:b/>
                <w:sz w:val="24"/>
              </w:rPr>
              <w:t>First aid measures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4.1  </w:t>
            </w:r>
            <w:r>
              <w:rPr>
                <w:rFonts w:hint="eastAsia"/>
                <w:b/>
                <w:sz w:val="24"/>
              </w:rPr>
              <w:t xml:space="preserve">General measures: 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6199B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Remove all contaminated clothing immediately.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 xml:space="preserve">Ingestion: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FA4C2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Do not induce vomiting and seek medical advice. When unconscious, do not feed any food through the mouth.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 xml:space="preserve">Eye contact: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9451E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Open the eyelids, wash them with warm water for a long time (at least 20 minutes), and tilt your head to prevent chemicals from flowing into the other uncontaminated eye, and seek medical attention immediately.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 xml:space="preserve">Skin contact: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C07D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Rinse immediately with soap and plenty of water. Get medical attention in case of skin reaction.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 xml:space="preserve">Inhalation: 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AF8053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If respiratory tract irritation occurs, seek medical advice.</w:t>
            </w:r>
          </w:p>
        </w:tc>
      </w:tr>
    </w:tbl>
    <w:p w14:paraId="53476E1F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5.</w:t>
            </w:r>
            <w:r>
              <w:rPr>
                <w:b/>
                <w:sz w:val="24"/>
              </w:rPr>
              <w:t>Fire fighting measures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6ED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Suitable extinguishing</w:t>
            </w:r>
          </w:p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agents: 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Carbon dioxide (CO2), alcohol resistant foam, chemical dry powder. Sprinkling water in blaze.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2318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Unsuitable extinguishing</w:t>
            </w:r>
          </w:p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agents: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E530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Spray high flow of water.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E811EF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 xml:space="preserve">Special hazards </w:t>
            </w:r>
            <w:r>
              <w:rPr>
                <w:rFonts w:hint="eastAsia"/>
                <w:b/>
                <w:sz w:val="24"/>
                <w:lang w:val="en-US" w:eastAsia="zh-CN"/>
              </w:rPr>
              <w:t>of</w:t>
            </w:r>
          </w:p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b/>
                <w:sz w:val="24"/>
                <w:lang w:val="en-US" w:eastAsia="zh-CN"/>
              </w:rPr>
              <w:t xml:space="preserve">substances or mixtures: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D96D4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It can be released carbon monoxide, carbon dioxide, nitrogen oxides, etc. during combustion,</w:t>
            </w:r>
          </w:p>
          <w:p w14:paraId="6C1DF5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In case of fire or explosion, don’t inhale smoke and dust.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6B36C9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Firefighting precautions</w:t>
            </w:r>
          </w:p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protective equipment: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6E6DE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 xml:space="preserve">Firefighters should be equipped with self-contained breathing apparatus. </w:t>
            </w:r>
          </w:p>
          <w:p w14:paraId="42A365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No contaminated fire-fighting water is allowed to run into the soil, groundwater or surface water.</w:t>
            </w:r>
          </w:p>
        </w:tc>
      </w:tr>
    </w:tbl>
    <w:p w14:paraId="4BD4CE7B">
      <w:pPr>
        <w:rPr>
          <w:sz w:val="2"/>
          <w:szCs w:val="2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6.</w:t>
            </w:r>
            <w:r>
              <w:rPr>
                <w:b/>
                <w:sz w:val="24"/>
              </w:rPr>
              <w:t xml:space="preserve"> Accidental release measures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29B33C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hanging="632" w:hangingChars="3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>Personal precautions, protective equipment and</w:t>
            </w:r>
          </w:p>
          <w:p w14:paraId="4FA2DD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emergency procedures: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FEDD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Wear protective equipment. </w:t>
            </w:r>
          </w:p>
          <w:p w14:paraId="0C71E76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Ensure adequate ventilation/exhaust. Order unauthorized personnel to leave.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6EF71D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Environmental</w:t>
            </w:r>
          </w:p>
          <w:p w14:paraId="2CE602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precautions: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Do not discharge into sewers, waste water or soil.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Methods and material for</w:t>
            </w:r>
            <w:r>
              <w:rPr>
                <w:rFonts w:hint="eastAsia"/>
                <w:b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sz w:val="24"/>
              </w:rPr>
              <w:t xml:space="preserve">containment and cleaning up: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Collect with chemical absorbent materials or dry sand if necessary, and store in closed containers.</w:t>
            </w:r>
          </w:p>
        </w:tc>
      </w:tr>
    </w:tbl>
    <w:p w14:paraId="2EF5DBA9">
      <w:pPr>
        <w:spacing w:line="300" w:lineRule="auto"/>
        <w:ind w:right="480"/>
        <w:rPr>
          <w:b/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7.</w:t>
            </w:r>
            <w:r>
              <w:rPr>
                <w:b/>
                <w:sz w:val="24"/>
              </w:rPr>
              <w:t xml:space="preserve"> Handling and storage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/>
                <w:b/>
                <w:sz w:val="24"/>
              </w:rPr>
              <w:t xml:space="preserve">Precautions for safe handling: 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1A615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Use in a place with appropriate exhaust ventilation. Avoid contact with skin and eyes. Do not breathe vapor or spray.</w:t>
            </w:r>
          </w:p>
          <w:p w14:paraId="77C71A1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Stay away from food, drink and tobacco. Wash hands before rest and at the end of work. Replace contaminated or soaked clothing.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leftChars="0" w:hanging="459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>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 xml:space="preserve">Conditions for safe storage: 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548EDA8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Keep the container tightly closed and store it in a dry and ventilated place. To maintain product quality, the storage conditions on our product information sheet must be observed.</w:t>
            </w:r>
          </w:p>
        </w:tc>
      </w:tr>
    </w:tbl>
    <w:p w14:paraId="32CFAC5A">
      <w:pPr>
        <w:spacing w:line="300" w:lineRule="auto"/>
        <w:ind w:right="480"/>
        <w:rPr>
          <w:b/>
          <w:sz w:val="24"/>
        </w:rPr>
      </w:pPr>
    </w:p>
    <w:tbl>
      <w:tblPr>
        <w:tblStyle w:val="5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6"/>
        <w:gridCol w:w="445"/>
        <w:gridCol w:w="1409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D9D9D9"/>
          </w:tcPr>
          <w:p w14:paraId="6D7F092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8.</w:t>
            </w:r>
            <w:r>
              <w:rPr>
                <w:b/>
                <w:sz w:val="24"/>
              </w:rPr>
              <w:t>Exposure control / personal protection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Exposure controls: 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Respiratory protection: 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1C884B0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sz w:val="22"/>
                <w:szCs w:val="22"/>
                <w:b w:val="0"/>
                <w:bCs w:val="0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Respiratory protection equipment is required during the spraying process.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Hand protection:</w:t>
            </w:r>
            <w:r>
              <w:rPr>
                <w:b/>
                <w:sz w:val="24"/>
              </w:rPr>
            </w:r>
            <w:r>
              <w:rPr>
                <w:rFonts w:hint="eastAsia" w:hAnsi="Arial" w:cs="Arial"/>
                <w:b/>
                <w:kern w:val="0"/>
                <w:sz w:val="24"/>
              </w:rPr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1CE240D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eastAsia="宋体"/>
                <w:sz w:val="22"/>
                <w:szCs w:val="22"/>
                <w:lang w:val="en-US" w:eastAsia="zh-CN"/>
                <w:b w:val="0"/>
                <w:bCs w:val="0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It is recommended to wear protective gloves.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79" w:leftChars="228" w:firstLine="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Suitable material for protective gloves: 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0F79135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cs="Arial"/>
                <w:kern w:val="0"/>
                <w:sz w:val="22"/>
                <w:szCs w:val="22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Fluororubber – FKM: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906C58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</w:rPr>
              <w:t>thickness ≥ 0.4mm; Penetration time ≥ 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Butyl rubber – IIR: 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</w:rPr>
              <w:t>thickness ≥ 0.5mm; Penetration time ≥ 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Nitrile rubber – NBR: 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1D8F221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kern w:val="0"/>
                <w:sz w:val="24"/>
                <w:szCs w:val="24"/>
              </w:rPr>
              <w:t>thickness ≥ 0.35mm; Penetration time ≥ 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Recommendation: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01EB7BFB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sz w:val="22"/>
                <w:szCs w:val="22"/>
                <w:b w:val="0"/>
                <w:bCs w:val="0"/>
              </w:rPr>
            </w:pPr>
            <w:r>
              <w:rPr>
                <w:rFonts w:hint="eastAsia" w:hAnsi="Times New Roman" w:cs="Times New Roman" w:ascii="Times New Roman" w:eastAsia="Times New Roman"/>
                <w:kern w:val="0"/>
                <w:sz w:val="24"/>
                <w:szCs w:val="24"/>
              </w:rPr>
              <w:t>Discard contaminated gloves.</w:t>
            </w: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Eye protection: 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26B1D9CE">
            <w:pPr>
              <w:autoSpaceDE w:val="0"/>
              <w:autoSpaceDN w:val="0"/>
              <w:adjustRightInd w:val="0"/>
              <w:spacing w:line="300" w:lineRule="auto"/>
              <w:jc w:val="left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Wear goggles/face mask.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Body protection: 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2"/>
                <w:szCs w:val="22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Wear appropriate protective clothing.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21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Engineering controls: </w:t>
            </w:r>
          </w:p>
        </w:tc>
        <w:tc>
          <w:tcPr>
            <w:tcW w:w="6339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kern w:val="2"/>
                <w:sz w:val="22"/>
                <w:szCs w:val="22"/>
                <w:lang w:val="en-US" w:eastAsia="zh-CN" w:bidi="ar-SA"/>
                <w:b w:val="0"/>
                <w:bCs w:val="0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使用局部排风或全面通风</w:t>
            </w:r>
          </w:p>
        </w:tc>
      </w:tr>
      <w:tr w14:paraId="7804B48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FADF2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Control parameters for workplace components</w:t>
            </w:r>
          </w:p>
        </w:tc>
      </w:tr>
      <w:tr w14:paraId="7CEA1C7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D89A2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Substance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79F6A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Basis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29BE33F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Type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E8187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Value</w:t>
            </w:r>
          </w:p>
        </w:tc>
      </w:tr>
      <w:tr w14:paraId="0AAF9FDF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DB27D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六亚甲基-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1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,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6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-二异氰酸酯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3C72B90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CN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478D6E1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8B99E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0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.03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mg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/m3</w:t>
            </w:r>
          </w:p>
        </w:tc>
      </w:tr>
      <w:tr w14:paraId="133F437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076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4B4D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丙二醇甲醚醋酸酯</w:t>
            </w:r>
          </w:p>
        </w:tc>
        <w:tc>
          <w:tcPr>
            <w:tcW w:w="1854" w:type="dxa"/>
            <w:gridSpan w:val="2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F59E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CN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3FA9628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1831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 xml:space="preserve">100 </w:t>
            </w: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mg</w:t>
            </w:r>
            <w:r>
              <w:rPr>
                <w:rFonts w:cs="Times New Roman" w:ascii="Times New Roman" w:hAnsi="Times New Roman" w:eastAsia="Times New Roman"/>
                <w:kern w:val="0"/>
                <w:sz w:val="24"/>
                <w:szCs w:val="24"/>
              </w:rPr>
              <w:t>/m3</w:t>
            </w:r>
          </w:p>
        </w:tc>
      </w:tr>
    </w:tbl>
    <w:p w14:paraId="51464585">
      <w:pPr>
        <w:spacing w:line="300" w:lineRule="auto"/>
        <w:ind w:right="480"/>
        <w:rPr>
          <w:b/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9.</w:t>
            </w:r>
            <w:r>
              <w:rPr>
                <w:b/>
                <w:sz w:val="24"/>
              </w:rPr>
              <w:t>Physical and chemical properties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Appearance: 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Odour threshold: 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9.3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pH value: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9.4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Ionicity: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9.5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Initial boiling point: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9.6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Flash point: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9.7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Evaporation rate: 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9.8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Flammability: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Heat of combustion: 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4C42FE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32" w:leftChars="0" w:hanging="632" w:hangingChars="30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Saturated vapour</w:t>
            </w:r>
          </w:p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722" w:leftChars="229" w:hanging="241" w:hangingChars="1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pressure: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Relative vapour density: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Density: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Solubility in water: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Surface tension: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9E7A1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log Pow (n-octanol/water</w:t>
            </w:r>
          </w:p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partition coefficient):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88F3C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Auto-ignition</w:t>
            </w:r>
          </w:p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temperature: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Ignition temperature: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2E781C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Decomposition</w:t>
            </w:r>
          </w:p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temperature: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9.19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Dynamic viscosity: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9.20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Explosive properties: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Dust explosion class: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Solid content: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9.24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Other information: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无数据</w:t>
            </w:r>
          </w:p>
        </w:tc>
      </w:tr>
    </w:tbl>
    <w:p w14:paraId="5DA7B600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10.</w:t>
            </w:r>
            <w:r>
              <w:rPr>
                <w:b/>
                <w:sz w:val="24"/>
              </w:rPr>
              <w:t>Stability and reactivity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Chemical stability: 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It will not decompose if use properly.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Hazardous decomposition products: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During drying/curing, the coating releases aneutralizing agent.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Possible hazardous reactions: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szCs w:val="24"/>
              </w:rPr>
              <w:t>No hazardous reaction when properly stored.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Conditions to avoid</w:t>
            </w:r>
            <w:r>
              <w:rPr>
                <w:rFonts w:hint="eastAsia" w:hAnsi="Arial"/>
                <w:b/>
                <w:sz w:val="24"/>
              </w:rPr>
              <w:t xml:space="preserve">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10.5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Incompatible materials: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>无数据</w:t>
            </w:r>
          </w:p>
        </w:tc>
      </w:tr>
    </w:tbl>
    <w:p w14:paraId="61A13AAF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924"/>
        <w:gridCol w:w="75"/>
        <w:gridCol w:w="4263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11.</w:t>
            </w:r>
            <w:r>
              <w:rPr>
                <w:b/>
                <w:sz w:val="24"/>
              </w:rPr>
              <w:t xml:space="preserve"> Toxicological information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22A157D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 xml:space="preserve">No toxicological studies were available for this product. 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6C5E98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cs="Arial"/>
                <w:kern w:val="0"/>
                <w:sz w:val="24"/>
                <w:lang w:val="en-US" w:eastAsia="zh-CN"/>
              </w:rPr>
            </w:pPr>
            <w:r>
              <w:rPr>
                <w:rFonts w:hint="eastAsia" w:cs="Times New Roman" w:ascii="Times New Roman" w:hAnsi="Times New Roman" w:eastAsia="Times New Roman"/>
                <w:kern w:val="0"/>
                <w:sz w:val="24"/>
                <w:lang w:val="en-US" w:eastAsia="zh-CN"/>
                <w:szCs w:val="24"/>
              </w:rPr>
              <w:t>The following are the toxicological data of N, N-dimethylacetamide: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Acute toxicity: </w:t>
            </w: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Oral: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Inhalatio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n</w:t>
            </w:r>
            <w:r>
              <w:rPr>
                <w:rFonts w:hint="eastAsia" w:hAnsi="Arial"/>
                <w:b/>
                <w:sz w:val="24"/>
              </w:rPr>
              <w:t>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24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both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Dermal:</w:t>
            </w:r>
          </w:p>
        </w:tc>
        <w:tc>
          <w:tcPr>
            <w:tcW w:w="4338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Primary skin irritation: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分类：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结果：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Primary eye irritation: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结果：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Sensitization: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物种：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分类：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结果：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Mutagenicity: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Carcinogenicity: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2E5A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Reproductive toxicity: </w:t>
            </w: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hAnsi="Arial" w:eastAsia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</w:rPr>
              <w:t>Fertility</w:t>
            </w:r>
            <w:r>
              <w:rPr>
                <w:rFonts w:hint="eastAsia" w:hAnsi="Arial"/>
                <w:b/>
                <w:sz w:val="24"/>
                <w:lang w:eastAsia="zh-CN"/>
              </w:rPr>
              <w:t xml:space="preserve">: 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 w:eastAsia="Times New Roman"/>
                <w:sz w:val="24"/>
                <w:szCs w:val="24"/>
                <w:lang w:val="en-US" w:eastAsia="zh-CN"/>
              </w:rPr>
              <w:t>AA</w:t>
            </w: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Teratogenicity</w:t>
            </w:r>
            <w:r>
              <w:rPr>
                <w:rFonts w:hint="eastAsia" w:hAnsi="Arial"/>
                <w:b/>
                <w:sz w:val="24"/>
                <w:lang w:eastAsia="zh-CN"/>
              </w:rPr>
              <w:t xml:space="preserve">: 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1696E46">
            <w:pPr>
              <w:keepNext w:val="0"/>
              <w:keepLines w:val="0"/>
              <w:pageBreakBefore w:val="0"/>
              <w:widowControl w:val="0"/>
              <w:tabs>
                <w:tab w:val="center" w:pos="202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 w:eastAsia="Times New Roman"/>
                <w:sz w:val="24"/>
                <w:szCs w:val="24"/>
                <w:lang w:val="en-US" w:eastAsia="zh-CN"/>
              </w:rPr>
              <w:t>BB</w:t>
            </w: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99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eastAsia="宋体" w:cs="宋体"/>
                <w:b/>
                <w:bCs/>
                <w:sz w:val="24"/>
                <w:lang w:eastAsia="zh-CN"/>
              </w:rPr>
            </w:pPr>
            <w:r>
              <w:rPr>
                <w:rFonts w:hint="eastAsia" w:hAnsi="Arial"/>
                <w:b/>
                <w:sz w:val="24"/>
              </w:rPr>
              <w:t>In vitro genotoxicity</w:t>
            </w:r>
            <w:r>
              <w:rPr>
                <w:rFonts w:hint="eastAsia" w:hAnsi="Arial"/>
                <w:b/>
                <w:sz w:val="24"/>
                <w:lang w:eastAsia="zh-CN"/>
              </w:rPr>
              <w:t xml:space="preserve">: </w:t>
            </w:r>
          </w:p>
        </w:tc>
        <w:tc>
          <w:tcPr>
            <w:tcW w:w="426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 w:eastAsia="Times New Roman"/>
                <w:sz w:val="24"/>
                <w:szCs w:val="24"/>
                <w:lang w:val="en-US" w:eastAsia="zh-CN"/>
              </w:rPr>
              <w:t>CC</w:t>
            </w: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ACDD9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Specific target organ</w:t>
            </w:r>
          </w:p>
          <w:p w14:paraId="79F4137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>toxicity (single/repeated</w:t>
            </w:r>
          </w:p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3" w:leftChars="244" w:hanging="161" w:hangingChars="67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exposure):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Aspiration hazard: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11.10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Additional information: 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  <w:vAlign w:val="center"/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12.</w:t>
            </w:r>
            <w:r>
              <w:rPr>
                <w:b/>
                <w:sz w:val="24"/>
              </w:rPr>
              <w:t>Ecological information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Ecotoxicity: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3F5838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Persistence and</w:t>
            </w:r>
          </w:p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79" w:leftChars="229" w:hanging="198" w:hangingChars="8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 xml:space="preserve">degradability: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试验方法：OECD 301C或等效方法。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Other adverse effects: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99"/>
        <w:gridCol w:w="6282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13.</w:t>
            </w:r>
            <w:r>
              <w:rPr>
                <w:b/>
                <w:sz w:val="24"/>
              </w:rPr>
              <w:t>Handling precautions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在欧盟领域内废弃，应根据欧洲废弃物分类（EWC）的适当法规。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49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 xml:space="preserve">Disposal methods: </w:t>
            </w:r>
          </w:p>
        </w:tc>
        <w:tc>
          <w:tcPr>
            <w:tcW w:w="628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尽可能将容器倒空（例如经倾倒，刮擦或排干直至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“</w:t>
            </w: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滴干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”</w:t>
            </w: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/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14.</w:t>
            </w:r>
            <w:r>
              <w:rPr>
                <w:b/>
                <w:sz w:val="24"/>
              </w:rPr>
              <w:t xml:space="preserve"> Transport information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Road and rail transport: 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Maritime transport: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szCs w:val="24"/>
                <w:b w:val="0"/>
                <w:bCs w:val="0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Air transport: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szCs w:val="24"/>
                <w:b w:val="0"/>
                <w:bCs w:val="0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hAnsi="Arial" w:cs="Times New Roman"/>
                <w:b/>
                <w:kern w:val="2"/>
                <w:sz w:val="52"/>
                <w:szCs w:val="52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 xml:space="preserve">Special precautions for user: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szCs w:val="24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避免</w:t>
            </w: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温度高于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+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35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℃，温度不可低于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  <w:lang w:val="en-US" w:eastAsia="zh-CN"/>
              </w:rPr>
              <w:t>+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5</w:t>
            </w: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  <w:szCs w:val="24"/>
                <w:b w:val="0"/>
                <w:bCs w:val="0"/>
              </w:rPr>
            </w:pPr>
            <w:r>
              <w:rPr>
                <w:rFonts w:hint="eastAsia" w:ascii="Times New Roman" w:hAnsi="Times New Roman" w:eastAsia="Times New Roman" w:cs="Times New Roman"/>
                <w:sz w:val="24"/>
                <w:szCs w:val="24"/>
              </w:rPr>
              <w:t>远离食物、酸和碱。</w:t>
            </w:r>
          </w:p>
        </w:tc>
      </w:tr>
    </w:tbl>
    <w:p w14:paraId="3A799781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15.</w:t>
            </w:r>
            <w:r>
              <w:rPr>
                <w:b/>
                <w:sz w:val="24"/>
              </w:rPr>
              <w:t>Regulatory information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ascii="Times New Roman" w:hAnsi="Times New Roman" w:cs="Times New Roman"/>
                <w:kern w:val="0"/>
                <w:sz w:val="24"/>
                <w:szCs w:val="24"/>
                <w:b w:val="0"/>
                <w:bCs w:val="0"/>
              </w:rPr>
            </w:pPr>
            <w:bookmarkStart w:id="0" w:name="_GoBack" w:colFirst="0" w:colLast="0"/>
            <w:r>
              <w:rPr>
                <w:rFonts w:hint="default" w:ascii="Times New Roman" w:hAnsi="Times New Roman" w:cs="Times New Roman" w:eastAsia="Times New Roman"/>
                <w:bCs/>
                <w:kern w:val="0"/>
                <w:sz w:val="24"/>
                <w:szCs w:val="24"/>
              </w:rPr>
              <w:t>Relevant safety, health and environmental regulations for the substance or mixture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  <w:t xml:space="preserve">Other provisions: 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autoSpaceDE w:val="0"/>
              <w:autoSpaceDN w:val="0"/>
              <w:adjustRightInd w:val="0"/>
              <w:spacing w:line="300" w:lineRule="auto"/>
              <w:jc w:val="left"/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sz w:val="24"/>
                <w:szCs w:val="24"/>
              </w:rPr>
              <w:t xml:space="preserve">Complies with the following regulations: 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危险化学品安全管理条例，国务院令</w:t>
            </w:r>
            <w:r>
              <w:rPr>
                <w:rFonts w:hint="default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591</w:t>
            </w: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GB/T 16483 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>GB 13690 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</w:rPr>
              <w:t xml:space="preserve">GB </w:t>
            </w:r>
            <w:r>
              <w:rPr>
                <w:rFonts w:hint="default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rFonts w:hint="default" w:hAnsi="Arial"/>
                <w:sz w:val="24"/>
                <w:szCs w:val="24"/>
                <w:lang w:val="en-US" w:eastAsia="zh-CN"/>
              </w:rPr>
            </w:pPr>
            <w:r>
              <w:rPr>
                <w:rFonts w:hint="default" w:hAnsi="Times New Roman" w:ascii="Times New Roman" w:eastAsia="Times New Roman" w:cs="Times New Roman"/>
                <w:sz w:val="24"/>
                <w:szCs w:val="24"/>
                <w:lang w:val="en-US" w:eastAsia="zh-CN"/>
              </w:rPr>
              <w:t>GB 15258 化学品安全标签编写规定</w:t>
            </w:r>
          </w:p>
        </w:tc>
      </w:tr>
      <w:bookmarkEnd w:id="0"/>
    </w:tbl>
    <w:p w14:paraId="7FDBD15A">
      <w:pPr>
        <w:spacing w:line="300" w:lineRule="auto"/>
        <w:ind w:right="480"/>
        <w:rPr>
          <w:sz w:val="24"/>
        </w:rPr>
      </w:pPr>
    </w:p>
    <w:tbl>
      <w:tblPr>
        <w:tblStyle w:val="5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numPr>
                <w:ilvl w:val="0"/>
                <w:numId w:val="0"/>
              </w:numPr>
              <w:spacing w:line="300" w:lineRule="auto"/>
              <w:ind w:left="0" w:leftChars="0" w:right="480" w:rightChars="0" w:firstLine="0" w:firstLineChars="0"/>
              <w:rPr>
                <w:b/>
                <w:sz w:val="24"/>
              </w:rPr>
            </w:pPr>
            <w:r>
              <w:rPr>
                <w:rFonts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  <w:t>16.</w:t>
            </w:r>
            <w:r>
              <w:rPr>
                <w:b/>
                <w:sz w:val="24"/>
              </w:rPr>
              <w:t>Other information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center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  <w:b w:val="0"/>
                <w:bCs w:val="0"/>
              </w:rPr>
            </w:pPr>
            <w:r>
              <w:rPr>
                <w:rFonts w:hint="eastAsia" w:hAnsi="Times New Roman" w:ascii="Times New Roman" w:eastAsia="Times New Roman" w:cs="Times New Roman"/>
                <w:sz w:val="24"/>
                <w:szCs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4BC989FC">
      <w:pPr>
        <w:spacing w:before="0" w:after="0" w:line="20" w:lineRule="exact"/>
        <w:rPr>
          <w:sz w:val="2"/>
          <w:szCs w:val="2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22326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MATERIAL SAFETY</w:t>
    </w:r>
    <w:r>
      <w:rPr>
        <w:rFonts w:cs="Arial" w:asciiTheme="majorEastAsia" w:hAnsiTheme="majorEastAsia" w:eastAsiaTheme="majorEastAsia"/>
        <w:b/>
        <w:sz w:val="44"/>
        <w:szCs w:val="44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DATA</w:t>
    </w:r>
    <w:r>
      <w:rPr>
        <w:rFonts w:cs="Arial" w:asciiTheme="majorEastAsia" w:hAnsiTheme="majorEastAsia" w:eastAsiaTheme="majorEastAsia"/>
        <w:b/>
        <w:sz w:val="44"/>
        <w:szCs w:val="44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SHEET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Version: 1.0</w:t>
    </w:r>
  </w:p>
  <w:tbl>
    <w:tblPr>
      <w:tblStyle w:val="5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26CE529"/>
    <w:multiLevelType w:val="singleLevel"/>
    <w:tmpl w:val="626CE52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05C6A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DF94CD2"/>
    <w:rsid w:val="1EC5648C"/>
    <w:rsid w:val="1EEC29D4"/>
    <w:rsid w:val="20353F57"/>
    <w:rsid w:val="22703398"/>
    <w:rsid w:val="24976248"/>
    <w:rsid w:val="24A731A2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6E4C7E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9C34192"/>
    <w:rsid w:val="4B7137DB"/>
    <w:rsid w:val="4D46517C"/>
    <w:rsid w:val="4DC32E11"/>
    <w:rsid w:val="4EB83E58"/>
    <w:rsid w:val="4F6B2265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5E7257C5"/>
    <w:rsid w:val="60781EF7"/>
    <w:rsid w:val="60D03D4F"/>
    <w:rsid w:val="60E4057C"/>
    <w:rsid w:val="637D0A8C"/>
    <w:rsid w:val="63C56334"/>
    <w:rsid w:val="63F60908"/>
    <w:rsid w:val="64B21DE4"/>
    <w:rsid w:val="658845F7"/>
    <w:rsid w:val="66805EA4"/>
    <w:rsid w:val="67010372"/>
    <w:rsid w:val="67456812"/>
    <w:rsid w:val="68EE4C77"/>
    <w:rsid w:val="6A200D50"/>
    <w:rsid w:val="6B9E64FB"/>
    <w:rsid w:val="6C8D0DE8"/>
    <w:rsid w:val="6D0816B9"/>
    <w:rsid w:val="6D197F5B"/>
    <w:rsid w:val="6D78129B"/>
    <w:rsid w:val="6EC16FCD"/>
    <w:rsid w:val="6ED91EE1"/>
    <w:rsid w:val="6F9326E7"/>
    <w:rsid w:val="720B23B8"/>
    <w:rsid w:val="748F427D"/>
    <w:rsid w:val="75454A90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6">
    <w:name w:val="Table Grid"/>
    <w:basedOn w:val="5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页眉 Char"/>
    <w:basedOn w:val="7"/>
    <w:link w:val="3"/>
    <w:semiHidden/>
    <w:qFormat/>
    <w:uiPriority w:val="99"/>
    <w:rPr>
      <w:sz w:val="18"/>
      <w:szCs w:val="18"/>
    </w:rPr>
  </w:style>
  <w:style w:type="character" w:customStyle="1" w:styleId="9">
    <w:name w:val="页脚 Char"/>
    <w:basedOn w:val="7"/>
    <w:link w:val="2"/>
    <w:qFormat/>
    <w:uiPriority w:val="99"/>
    <w:rPr>
      <w:sz w:val="18"/>
      <w:szCs w:val="18"/>
    </w:rPr>
  </w:style>
  <w:style w:type="paragraph" w:customStyle="1" w:styleId="10">
    <w:name w:val="列出段落1"/>
    <w:basedOn w:val="1"/>
    <w:qFormat/>
    <w:uiPriority w:val="34"/>
    <w:pPr>
      <w:ind w:firstLine="420" w:firstLineChars="200"/>
    </w:p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paragraph" w:customStyle="1" w:styleId="12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  <w:style w:type="character" w:customStyle="1" w:styleId="13">
    <w:name w:val="machtrans__hl__6hdyk"/>
    <w:basedOn w:val="7"/>
    <w:autoRedefine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1981</Words>
  <Characters>6045</Characters>
  <Lines>18</Lines>
  <Paragraphs>5</Paragraphs>
  <TotalTime>8</TotalTime>
  <ScaleCrop>false</ScaleCrop>
  <LinksUpToDate>false</LinksUpToDate>
  <CharactersWithSpaces>6714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2026-09-22T07:04:44Z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2502B83147E84FEB820964A6016FE0DF_13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