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name：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Classification：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Label Elements：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Pictograms：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Signal Word：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Hazard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Precautionary Statements：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Physical and Chemical Hazards：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 type：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>General measures：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Ingestion：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Eye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Skin contact：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Inhalation：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agents：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>substances or mixtures：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>Measures for accidental leakage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protective equipment：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precautions：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containment and cleaning up：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>Operation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Precautions for safe handling：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Conditions for safe storage：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171"/>
        <w:gridCol w:w="1683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Exposure controls：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Respiratory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protection：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Suitable material for protective gloves：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Butyl rubber – IIR：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Nitrile rubber – NBR：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Eye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Body protection：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24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Engineering controls：</w:t>
            </w:r>
          </w:p>
        </w:tc>
        <w:tc>
          <w:tcPr>
            <w:tcW w:w="6613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  <w:bookmarkStart w:id="0" w:name="_GoBack"/>
            <w:bookmarkEnd w:id="0"/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5DB27DA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3C72B90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478D6E16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68B99E2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0B94B4DA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67F59E2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top"/>
          </w:tcPr>
          <w:p w14:paraId="3FA96282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5183188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Appearance：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 value：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Ionicity：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Initial boiling point：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Flammability：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pressure：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Relative vapour density：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Solubility in water：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partition coefficient)：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Ignition 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temperature：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Dynamic viscosity：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Explosive properties：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Dust explosion class：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Solid content：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information：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Chemical stability：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Hazardous decomposition products：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Possible hazardous reactions：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Incompatible materials：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1BC35B7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>Toxicity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Acute toxicity：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skin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Primary eye irritation：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Sensitization：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Mutagenicity：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Carcinogenicity：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Reproductive toxicity：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exposure)：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Aspiration hazard：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Additional information：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Ecotoxicity：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degradability：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Other adverse effects：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Disposal methods：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>Transportation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Road and rail transport：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Maritime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Air transport：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Special precautions for user：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Other provisions：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Complies with the following regulations：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18A7590F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05C6A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6805EA4"/>
    <w:rsid w:val="67010372"/>
    <w:rsid w:val="67456812"/>
    <w:rsid w:val="68EE4C77"/>
    <w:rsid w:val="6A200D50"/>
    <w:rsid w:val="6B9E64FB"/>
    <w:rsid w:val="6C8D0DE8"/>
    <w:rsid w:val="6D0816B9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2470</Words>
  <Characters>4994</Characters>
  <Lines>18</Lines>
  <Paragraphs>5</Paragraphs>
  <TotalTime>1</TotalTime>
  <ScaleCrop>false</ScaleCrop>
  <LinksUpToDate>false</LinksUpToDate>
  <CharactersWithSpaces>5358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2026-09-09T08:58:52Z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2502B83147E84FEB820964A6016FE0DF_13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