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24D01">
      <w:pPr>
        <w:spacing w:line="0" w:lineRule="atLeast"/>
        <w:rPr>
          <w:rFonts w:ascii="宋体" w:hAnsi="宋体" w:cs="宋体"/>
          <w:b/>
          <w:sz w:val="28"/>
        </w:rPr>
      </w:pPr>
      <w:r>
        <w:rPr>
          <w:rFonts w:hint="eastAsia" w:ascii="宋体" w:hAnsi="宋体" w:cs="宋体"/>
          <w:b/>
          <w:sz w:val="28"/>
        </w:rPr>
        <w:t>英德市国彩精细化工</w:t>
      </w:r>
      <w:r>
        <w:rPr>
          <w:rFonts w:ascii="宋体" w:hAnsi="宋体" w:cs="宋体"/>
          <w:b/>
          <w:sz w:val="28"/>
        </w:rPr>
        <w:t>有限公司</w:t>
      </w:r>
    </w:p>
    <w:p w14:paraId="04006834">
      <w:pPr>
        <w:spacing w:line="43" w:lineRule="exact"/>
        <w:rPr>
          <w:rFonts w:ascii="宋体" w:hAnsi="宋体" w:cs="宋体"/>
          <w:sz w:val="24"/>
        </w:rPr>
      </w:pPr>
    </w:p>
    <w:p w14:paraId="098403C6">
      <w:pPr>
        <w:tabs>
          <w:tab w:val="left" w:pos="2640"/>
        </w:tabs>
        <w:spacing w:line="0" w:lineRule="atLeast"/>
        <w:rPr>
          <w:rFonts w:ascii="宋体" w:hAnsi="宋体" w:cs="宋体"/>
          <w:sz w:val="18"/>
        </w:rPr>
      </w:pPr>
      <w:r>
        <w:rPr>
          <w:rFonts w:ascii="宋体" w:hAnsi="宋体" w:cs="宋体"/>
          <w:sz w:val="18"/>
        </w:rPr>
        <w:t>电话：0763-2811205</w:t>
      </w:r>
      <w:r>
        <w:rPr>
          <w:rFonts w:ascii="宋体" w:hAnsi="宋体" w:cs="宋体"/>
        </w:rPr>
        <w:tab/>
      </w:r>
      <w:r>
        <w:rPr>
          <w:rFonts w:ascii="宋体" w:hAnsi="宋体" w:cs="宋体"/>
          <w:sz w:val="18"/>
        </w:rPr>
        <w:t>传真：0763-2811024</w:t>
      </w:r>
    </w:p>
    <w:p w14:paraId="0563104B">
      <w:pPr>
        <w:spacing w:line="14" w:lineRule="exact"/>
        <w:rPr>
          <w:rFonts w:ascii="宋体" w:hAnsi="宋体" w:cs="宋体"/>
          <w:sz w:val="24"/>
        </w:rPr>
      </w:pPr>
    </w:p>
    <w:p w14:paraId="6082D4F3">
      <w:pPr>
        <w:spacing w:line="0" w:lineRule="atLeast"/>
        <w:rPr>
          <w:rFonts w:ascii="宋体" w:hAnsi="宋体" w:cs="宋体"/>
          <w:sz w:val="18"/>
        </w:rPr>
      </w:pPr>
      <w:r>
        <w:rPr>
          <w:rFonts w:ascii="宋体" w:hAnsi="宋体" w:cs="宋体"/>
          <w:sz w:val="18"/>
        </w:rPr>
        <w:t>地址：</w:t>
      </w:r>
      <w:r>
        <w:rPr>
          <w:rFonts w:hint="eastAsia" w:ascii="宋体" w:hAnsi="宋体" w:cs="宋体"/>
          <w:sz w:val="18"/>
        </w:rPr>
        <w:t>广东省英德市白沙镇太平村更古坑凯迪工业园区</w:t>
      </w:r>
    </w:p>
    <w:p w14:paraId="400F4335">
      <w:pPr>
        <w:spacing w:line="200" w:lineRule="exac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-22225</wp:posOffset>
                </wp:positionH>
                <wp:positionV relativeFrom="paragraph">
                  <wp:posOffset>166370</wp:posOffset>
                </wp:positionV>
                <wp:extent cx="6157595" cy="0"/>
                <wp:effectExtent l="0" t="4445" r="0" b="4445"/>
                <wp:wrapNone/>
                <wp:docPr id="1" name="直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744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4" o:spid="_x0000_s1026" o:spt="20" style="position:absolute;left:0pt;margin-left:-1.75pt;margin-top:13.1pt;height:0pt;width:484.85pt;z-index:-251657216;mso-width-relative:page;mso-height-relative:page;" filled="f" stroked="t" coordsize="21600,21600" o:gfxdata="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P&#10;B8tt2AAAAAgBAAAPAAAAAAAAAAEAIAAAACIAAABkcnMvZG93bnJldi54bWxQSwECFAAUAAAACACH&#10;TuJAoSFWnrIBAABhAwAADgAAAAAAAAABACAAAAAnAQAAZHJzL2Uyb0RvYy54bWxQSwUGAAAAAAYA&#10;BgBZAQAASwUAAAAA&#10;">
                <v:fill on="f" focussize="0,0"/>
                <v:stroke weight="0.708661417322835pt" color="#000000" joinstyle="miter"/>
                <v:imagedata o:title=""/>
                <o:lock v:ext="edit" aspectratio="f"/>
              </v:line>
            </w:pict>
          </mc:Fallback>
        </mc:AlternateContent>
      </w:r>
    </w:p>
    <w:p w14:paraId="1CA7088B">
      <w:pPr>
        <w:spacing w:line="279" w:lineRule="exact"/>
        <w:rPr>
          <w:rFonts w:ascii="宋体" w:hAnsi="宋体" w:cs="宋体"/>
          <w:sz w:val="24"/>
        </w:rPr>
      </w:pPr>
    </w:p>
    <w:p w14:paraId="0DFCFE0C">
      <w:pPr>
        <w:spacing w:line="0" w:lineRule="atLeast"/>
        <w:ind w:left="3020" w:right="0"/>
        <w:rPr>
          <w:rFonts w:hint="eastAsia" w:ascii="Times New Roman" w:hAnsi="Times New Roman" w:cs="Times New Roman"/>
          <w:b/>
          <w:sz w:val="32"/>
        </w:rPr>
      </w:pPr>
      <w:bookmarkStart w:id="0" w:name="_GoBack"/>
      <w:r>
        <w:rPr>
          <w:rFonts w:hint="eastAsia" w:ascii="Times New Roman" w:hAnsi="Times New Roman" w:cs="Times New Roman"/>
          <w:b/>
          <w:sz w:val="32"/>
        </w:rPr>
        <w:t>脂肪族接着聚氨酯树脂 PU-1001</w:t>
      </w:r>
    </w:p>
    <w:p w14:paraId="64D14D94">
      <w:pPr>
        <w:spacing w:line="269" w:lineRule="exact"/>
        <w:rPr>
          <w:rFonts w:ascii="Times New Roman" w:hAnsi="Times New Roman" w:eastAsia="Times New Roman" w:cs="Times New Roman"/>
          <w:sz w:val="24"/>
        </w:rPr>
      </w:pPr>
    </w:p>
    <w:p w14:paraId="06EA2722">
      <w:pPr>
        <w:spacing w:line="0" w:lineRule="atLeast"/>
        <w:rPr>
          <w:rFonts w:ascii="宋体" w:hAnsi="宋体" w:cs="宋体"/>
          <w:b/>
          <w:sz w:val="28"/>
        </w:rPr>
      </w:pPr>
      <w:r>
        <w:rPr>
          <w:rFonts w:ascii="宋体" w:hAnsi="宋体" w:cs="宋体"/>
          <w:b/>
          <w:sz w:val="28"/>
        </w:rPr>
        <w:t>【产品描述】</w:t>
      </w:r>
    </w:p>
    <w:p w14:paraId="3A8D3C08">
      <w:pPr>
        <w:spacing w:line="0" w:lineRule="atLeast"/>
        <w:rPr>
          <w:rFonts w:ascii="宋体" w:hAnsi="宋体" w:cs="宋体"/>
          <w:b/>
          <w:sz w:val="8"/>
          <w:szCs w:val="2"/>
        </w:rPr>
      </w:pPr>
    </w:p>
    <w:p w14:paraId="3B4545BF">
      <w:pPr>
        <w:spacing w:line="324" w:lineRule="auto"/>
        <w:ind w:left="0" w:leftChars="0" w:right="0" w:rightChars="0" w:firstLineChars="200"/>
        <w:rPr>
          <w:rFonts w:hint="eastAsia" w:ascii="宋体" w:hAnsi="宋体" w:cs="宋体"/>
          <w:sz w:val="6"/>
          <w:szCs w:val="6"/>
        </w:rPr>
      </w:pPr>
      <w:r>
        <w:rPr>
          <w:rFonts w:hint="eastAsia" w:ascii="宋体" w:hAnsi="宋体" w:cs="宋体"/>
          <w:sz w:val="24"/>
        </w:rPr>
        <w:t>PU-1001是一款脂肪族阴离子型的水性聚氨酯分散体，具有极强的粘着能力，用于提升涂层之间的附着力。</w:t>
      </w:r>
    </w:p>
    <w:p w14:paraId="291FBEA6">
      <w:pPr>
        <w:spacing w:line="0" w:lineRule="atLeast"/>
        <w:rPr>
          <w:rFonts w:ascii="宋体" w:hAnsi="宋体" w:eastAsia="宋体" w:cs="Times New Roman"/>
          <w:b/>
          <w:sz w:val="28"/>
        </w:rPr>
      </w:pPr>
      <w:r>
        <w:rPr>
          <w:rFonts w:ascii="宋体" w:hAnsi="宋体" w:cs="Times New Roman"/>
          <w:b/>
          <w:sz w:val="28"/>
        </w:rPr>
        <w:t>【供应形式】</w:t>
      </w:r>
    </w:p>
    <w:p w14:paraId="266B6DFD">
      <w:pPr>
        <w:spacing w:line="0" w:lineRule="atLeast"/>
        <w:rPr>
          <w:rFonts w:ascii="宋体" w:hAnsi="宋体" w:cs="宋体"/>
          <w:b/>
          <w:sz w:val="13"/>
          <w:szCs w:val="6"/>
        </w:rPr>
      </w:pPr>
    </w:p>
    <w:p w14:paraId="18A9DB42">
      <w:pPr>
        <w:spacing w:line="324" w:lineRule="auto"/>
        <w:ind w:left="0" w:leftChars="0" w:right="0" w:rightChars="0" w:firstLineChars="200"/>
        <w:rPr>
          <w:rFonts w:hint="eastAsia" w:ascii="宋体" w:hAnsi="宋体" w:cs="宋体"/>
          <w:sz w:val="22"/>
          <w:szCs w:val="18"/>
        </w:rPr>
      </w:pPr>
      <w:r>
        <w:rPr>
          <w:rFonts w:ascii="宋体" w:hAnsi="宋体" w:cs="宋体"/>
          <w:sz w:val="24"/>
          <w:szCs w:val="24"/>
        </w:rPr>
        <w:t>约22%固含水分散体。</w:t>
      </w:r>
    </w:p>
    <w:p w14:paraId="04C171B2">
      <w:pPr>
        <w:spacing w:line="0" w:lineRule="atLeast"/>
        <w:rPr>
          <w:rFonts w:ascii="宋体" w:hAnsi="宋体" w:cs="宋体"/>
          <w:b/>
          <w:sz w:val="28"/>
        </w:rPr>
      </w:pPr>
      <w:r>
        <w:rPr>
          <w:rFonts w:ascii="宋体" w:hAnsi="宋体" w:cs="宋体"/>
          <w:b/>
          <w:sz w:val="28"/>
        </w:rPr>
        <w:t>【性能指标】</w:t>
      </w:r>
    </w:p>
    <w:p w14:paraId="632EEE36">
      <w:pPr>
        <w:spacing w:line="213" w:lineRule="exact"/>
        <w:rPr>
          <w:rFonts w:ascii="Times New Roman" w:hAnsi="Times New Roman" w:eastAsia="Times New Roman" w:cs="Times New Roman"/>
          <w:sz w:val="144"/>
          <w:szCs w:val="72"/>
        </w:rPr>
      </w:pPr>
    </w:p>
    <w:tbl>
      <w:tblPr>
        <w:tblStyle w:val="7"/>
        <w:tblW w:w="4400" w:type="pct"/>
        <w:tblInd w:w="47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42"/>
        <w:gridCol w:w="2037"/>
        <w:gridCol w:w="1023"/>
        <w:gridCol w:w="3194"/>
      </w:tblGrid>
      <w:tr w14:paraId="4F4CFB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254CA1">
            <w:pPr>
              <w:spacing w:line="0" w:lineRule="atLeas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项目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4A34B9">
            <w:pPr>
              <w:widowControl/>
              <w:spacing w:line="375" w:lineRule="atLeast"/>
              <w:jc w:val="center"/>
              <w:rPr>
                <w:rFonts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指标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509DD3">
            <w:pPr>
              <w:widowControl/>
              <w:spacing w:line="375" w:lineRule="atLeast"/>
              <w:jc w:val="center"/>
              <w:rPr>
                <w:rFonts w:hint="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单位</w:t>
            </w:r>
          </w:p>
        </w:tc>
        <w:tc>
          <w:tcPr>
            <w:tcW w:w="3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718D8D">
            <w:pPr>
              <w:widowControl/>
              <w:spacing w:line="375" w:lineRule="atLeast"/>
              <w:jc w:val="center"/>
              <w:rPr>
                <w:rFonts w:hint="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测试方法</w:t>
            </w:r>
          </w:p>
        </w:tc>
      </w:tr>
      <w:tr w14:paraId="114C41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2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A78ED6">
            <w:pPr>
              <w:widowControl/>
              <w:spacing w:line="375" w:lineRule="atLeast"/>
              <w:jc w:val="center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外观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CCDA25">
            <w:pPr>
              <w:widowControl/>
              <w:spacing w:line="375" w:lineRule="atLeast"/>
              <w:jc w:val="center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蓝光半透明液体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1E500C">
            <w:pPr>
              <w:widowControl/>
              <w:snapToGrid w:val="0"/>
              <w:spacing w:line="375" w:lineRule="atLeast"/>
              <w:jc w:val="center"/>
              <w:rPr>
                <w:rFonts w:hint="eastAsia" w:ascii="Times New Roman" w:hAnsi="Times New Roman" w:cs="Times New Roman"/>
                <w:sz w:val="24"/>
              </w:rPr>
            </w:pPr>
          </w:p>
        </w:tc>
        <w:tc>
          <w:tcPr>
            <w:tcW w:w="3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2D4A0A">
            <w:pPr>
              <w:widowControl/>
              <w:spacing w:line="375" w:lineRule="atLeast"/>
              <w:jc w:val="center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目测</w:t>
            </w:r>
          </w:p>
        </w:tc>
      </w:tr>
      <w:tr w14:paraId="5E8C7C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2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DD285C">
            <w:pPr>
              <w:widowControl/>
              <w:spacing w:line="375" w:lineRule="atLeast"/>
              <w:jc w:val="center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固体份含量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038C05">
            <w:pPr>
              <w:widowControl/>
              <w:spacing w:line="375" w:lineRule="atLeast"/>
              <w:jc w:val="center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22±1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22623F">
            <w:pPr>
              <w:widowControl/>
              <w:spacing w:line="375" w:lineRule="atLeast"/>
              <w:jc w:val="center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%</w:t>
            </w:r>
          </w:p>
        </w:tc>
        <w:tc>
          <w:tcPr>
            <w:tcW w:w="3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936076">
            <w:pPr>
              <w:widowControl/>
              <w:snapToGrid w:val="0"/>
              <w:spacing w:line="375" w:lineRule="atLeast"/>
              <w:jc w:val="center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150℃ 30min，鼓风烘箱</w:t>
            </w:r>
          </w:p>
        </w:tc>
      </w:tr>
      <w:tr w14:paraId="73DBB3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2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E0EAAB">
            <w:pPr>
              <w:widowControl/>
              <w:spacing w:line="375" w:lineRule="atLeas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粘度(25℃)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EB121B">
            <w:pPr>
              <w:widowControl/>
              <w:spacing w:line="375" w:lineRule="atLeast"/>
              <w:jc w:val="center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＜500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484321">
            <w:pPr>
              <w:widowControl/>
              <w:spacing w:line="375" w:lineRule="atLeast"/>
              <w:jc w:val="center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cs="宋体"/>
                <w:color w:val="000000"/>
                <w:kern w:val="0"/>
                <w:sz w:val="24"/>
                <w:szCs w:val="24"/>
              </w:rPr>
              <w:t>mPa·S</w:t>
            </w:r>
          </w:p>
        </w:tc>
        <w:tc>
          <w:tcPr>
            <w:tcW w:w="3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11A59F">
            <w:pPr>
              <w:widowControl/>
              <w:spacing w:line="375" w:lineRule="atLeast"/>
              <w:jc w:val="center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GB/T 2794-2022</w:t>
            </w:r>
          </w:p>
        </w:tc>
      </w:tr>
      <w:tr w14:paraId="24EB34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2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8B9D28">
            <w:pPr>
              <w:widowControl/>
              <w:spacing w:line="375" w:lineRule="atLeas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PH值（1:10稀释在水中）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2D3055">
            <w:pPr>
              <w:widowControl/>
              <w:spacing w:line="375" w:lineRule="atLeas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7.0-9.0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D85078">
            <w:pPr>
              <w:widowControl/>
              <w:snapToGrid w:val="0"/>
              <w:spacing w:line="375" w:lineRule="atLeast"/>
              <w:jc w:val="center"/>
              <w:rPr>
                <w:rFonts w:hint="eastAsia" w:ascii="宋体" w:hAnsi="宋体" w:cs="宋体"/>
                <w:sz w:val="24"/>
              </w:rPr>
            </w:pPr>
          </w:p>
        </w:tc>
        <w:tc>
          <w:tcPr>
            <w:tcW w:w="3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F8C8AB">
            <w:pPr>
              <w:widowControl/>
              <w:spacing w:line="375" w:lineRule="atLeast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GB 6920-86</w:t>
            </w:r>
          </w:p>
        </w:tc>
      </w:tr>
      <w:tr w14:paraId="79182B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2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D35677">
            <w:pPr>
              <w:widowControl/>
              <w:spacing w:line="375" w:lineRule="atLeast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密度(25℃)</w:t>
            </w:r>
          </w:p>
        </w:tc>
        <w:tc>
          <w:tcPr>
            <w:tcW w:w="2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BBEB5D">
            <w:pPr>
              <w:widowControl/>
              <w:spacing w:line="375" w:lineRule="atLeast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约1.06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2AF3E8">
            <w:pPr>
              <w:widowControl/>
              <w:spacing w:line="375" w:lineRule="atLeast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g/cm3</w:t>
            </w:r>
          </w:p>
        </w:tc>
        <w:tc>
          <w:tcPr>
            <w:tcW w:w="31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C8D60B">
            <w:pPr>
              <w:widowControl/>
              <w:spacing w:line="375" w:lineRule="atLeast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GB/T 4472-2011</w:t>
            </w:r>
          </w:p>
        </w:tc>
      </w:tr>
    </w:tbl>
    <w:p w14:paraId="4A67FD0C">
      <w:pPr>
        <w:spacing w:line="207" w:lineRule="exact"/>
        <w:rPr>
          <w:rFonts w:hint="eastAsia" w:ascii="Times New Roman" w:hAnsi="Times New Roman" w:eastAsia="宋体" w:cs="Times New Roman"/>
          <w:sz w:val="16"/>
          <w:szCs w:val="11"/>
        </w:rPr>
      </w:pPr>
    </w:p>
    <w:p w14:paraId="224AF978">
      <w:pPr>
        <w:spacing w:line="0" w:lineRule="atLeast"/>
        <w:rPr>
          <w:rFonts w:ascii="宋体" w:hAnsi="宋体" w:cs="宋体"/>
          <w:b/>
          <w:sz w:val="28"/>
        </w:rPr>
      </w:pPr>
      <w:r>
        <w:rPr>
          <w:rFonts w:ascii="宋体" w:hAnsi="宋体" w:cs="宋体"/>
          <w:b/>
          <w:sz w:val="28"/>
        </w:rPr>
        <w:t>【产品特性】</w:t>
      </w:r>
    </w:p>
    <w:p w14:paraId="6D1CDB83">
      <w:pPr>
        <w:numPr>
          <w:ilvl w:val="0"/>
          <w:numId w:val="0"/>
        </w:numPr>
        <w:tabs>
          <w:tab w:val="left" w:pos="840"/>
        </w:tabs>
        <w:spacing w:line="0" w:lineRule="atLeast"/>
        <w:ind w:left="0" w:leftChars="0" w:right="0" w:rightChars="0" w:firstLine="0" w:firstLineChars="0"/>
        <w:jc w:val="both"/>
        <w:rPr>
          <w:rFonts w:hint="eastAsia" w:ascii="宋体" w:hAnsi="宋体" w:eastAsia="宋体" w:cs="Times New Roman"/>
          <w:sz w:val="11"/>
          <w:szCs w:val="6"/>
        </w:rPr>
      </w:pPr>
    </w:p>
    <w:p w14:paraId="3D980457">
      <w:pPr>
        <w:numPr>
          <w:ilvl w:val="0"/>
          <w:numId w:val="1"/>
        </w:numPr>
        <w:tabs>
          <w:tab w:val="left" w:pos="840"/>
        </w:tabs>
        <w:spacing w:line="0" w:lineRule="atLeast"/>
        <w:ind w:left="840" w:hanging="360"/>
        <w:jc w:val="both"/>
        <w:rPr>
          <w:rFonts w:hint="eastAsia" w:ascii="宋体" w:hAnsi="宋体" w:eastAsia="宋体" w:cs="Times New Roman"/>
          <w:sz w:val="24"/>
        </w:rPr>
      </w:pPr>
      <w:r>
        <w:rPr>
          <w:rFonts w:hint="eastAsia" w:ascii="宋体" w:hAnsi="宋体" w:cs="Times New Roman"/>
          <w:sz w:val="24"/>
        </w:rPr>
        <w:t>成膜非常柔软；</w:t>
      </w:r>
    </w:p>
    <w:p w14:paraId="1E7EBB4B">
      <w:pPr>
        <w:numPr>
          <w:ilvl w:val="0"/>
          <w:numId w:val="1"/>
        </w:numPr>
        <w:tabs>
          <w:tab w:val="left" w:pos="840"/>
        </w:tabs>
        <w:spacing w:line="0" w:lineRule="atLeast"/>
        <w:ind w:left="840" w:hanging="360"/>
        <w:jc w:val="both"/>
        <w:rPr>
          <w:rFonts w:hint="eastAsia" w:ascii="宋体" w:hAnsi="宋体" w:eastAsia="宋体" w:cs="Times New Roman"/>
          <w:sz w:val="24"/>
        </w:rPr>
      </w:pPr>
      <w:r>
        <w:rPr>
          <w:rFonts w:hint="eastAsia" w:ascii="宋体" w:hAnsi="宋体" w:cs="Times New Roman"/>
          <w:sz w:val="24"/>
        </w:rPr>
        <w:t>优异的接着性能；</w:t>
      </w:r>
    </w:p>
    <w:p w14:paraId="2130D579">
      <w:pPr>
        <w:numPr>
          <w:ilvl w:val="0"/>
          <w:numId w:val="0"/>
        </w:numPr>
        <w:tabs>
          <w:tab w:val="left" w:pos="840"/>
        </w:tabs>
        <w:spacing w:line="0" w:lineRule="atLeast"/>
        <w:ind w:left="0" w:firstLine="0"/>
        <w:jc w:val="both"/>
        <w:rPr>
          <w:rFonts w:ascii="宋体" w:hAnsi="宋体" w:cs="宋体"/>
          <w:b/>
          <w:sz w:val="11"/>
          <w:szCs w:val="4"/>
        </w:rPr>
      </w:pPr>
    </w:p>
    <w:p w14:paraId="5E93C14E">
      <w:pPr>
        <w:spacing w:line="0" w:lineRule="atLeast"/>
        <w:rPr>
          <w:rFonts w:ascii="宋体" w:hAnsi="宋体" w:cs="宋体"/>
          <w:b/>
          <w:sz w:val="28"/>
        </w:rPr>
      </w:pPr>
      <w:r>
        <w:rPr>
          <w:rFonts w:ascii="宋体" w:hAnsi="宋体" w:cs="宋体"/>
          <w:b/>
          <w:sz w:val="28"/>
        </w:rPr>
        <w:t>【应用】</w:t>
      </w:r>
    </w:p>
    <w:p w14:paraId="363EE6E3">
      <w:pPr>
        <w:spacing w:line="0" w:lineRule="atLeast"/>
        <w:rPr>
          <w:rFonts w:ascii="宋体" w:hAnsi="宋体" w:cs="宋体"/>
          <w:b/>
          <w:sz w:val="13"/>
          <w:szCs w:val="6"/>
        </w:rPr>
      </w:pPr>
    </w:p>
    <w:p w14:paraId="28156706">
      <w:pPr>
        <w:spacing w:line="0" w:lineRule="atLeast"/>
        <w:ind w:left="0" w:leftChars="0" w:right="0" w:rightChars="0" w:firstLineChars="200"/>
        <w:rPr>
          <w:rFonts w:ascii="宋体" w:hAnsi="宋体" w:cs="宋体"/>
          <w:sz w:val="24"/>
        </w:rPr>
      </w:pPr>
      <w:r>
        <w:rPr>
          <w:rFonts w:hint="eastAsia" w:ascii="宋体" w:hAnsi="宋体" w:cs="Times New Roman"/>
          <w:sz w:val="24"/>
        </w:rPr>
        <w:t>PU-1001 成膜非常柔软，具有极强的粘着能力，可以作为接着层单独使用。也可以与其他材料搭配使用，提升涂层之间的附着力，增强涂层的物性，并且不会增加涂层的负载感。</w:t>
      </w:r>
    </w:p>
    <w:p w14:paraId="1324795C">
      <w:pPr>
        <w:spacing w:line="190" w:lineRule="exact"/>
        <w:rPr>
          <w:rFonts w:ascii="Times New Roman" w:hAnsi="Times New Roman" w:eastAsia="Times New Roman" w:cs="Times New Roman"/>
          <w:sz w:val="20"/>
          <w:szCs w:val="15"/>
        </w:rPr>
      </w:pPr>
    </w:p>
    <w:p w14:paraId="0F17E84C">
      <w:pPr>
        <w:spacing w:line="0" w:lineRule="atLeast"/>
        <w:rPr>
          <w:rFonts w:ascii="宋体" w:hAnsi="宋体" w:cs="宋体"/>
          <w:b/>
          <w:sz w:val="28"/>
        </w:rPr>
      </w:pPr>
      <w:r>
        <w:rPr>
          <w:rFonts w:ascii="宋体" w:hAnsi="宋体" w:cs="宋体"/>
          <w:b/>
          <w:sz w:val="28"/>
        </w:rPr>
        <w:t>【储存】</w:t>
      </w:r>
    </w:p>
    <w:p w14:paraId="36A4E085">
      <w:pPr>
        <w:spacing w:line="0" w:lineRule="atLeast"/>
        <w:rPr>
          <w:rFonts w:ascii="宋体" w:hAnsi="宋体" w:cs="宋体"/>
          <w:b/>
          <w:sz w:val="13"/>
          <w:szCs w:val="6"/>
        </w:rPr>
      </w:pPr>
    </w:p>
    <w:p w14:paraId="21AFD943">
      <w:pPr>
        <w:spacing w:line="324" w:lineRule="auto"/>
        <w:ind w:left="0" w:leftChars="0" w:right="0" w:rightChars="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建议储存在 5-35℃通风干燥的环境下，严禁冰冻。本产品自发货之日起保质期为6个月，超过6个月建议复检合格后再使用。</w:t>
      </w:r>
    </w:p>
    <w:bookmarkEnd w:id="0"/>
    <w:sectPr>
      <w:pgSz w:w="11906" w:h="16838"/>
      <w:pgMar w:top="852" w:right="1120" w:bottom="1440" w:left="1140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Liberation Serif">
    <w:panose1 w:val="02020603050405020304"/>
    <w:charset w:val="01"/>
    <w:family w:val="roman"/>
    <w:pitch w:val="default"/>
    <w:sig w:usb0="E0000AFF" w:usb1="500078FF" w:usb2="00000021" w:usb3="00000000" w:csb0="600001BF" w:csb1="DFF7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autoHyphenation/>
  <w:hyphenationZone w:val="0"/>
  <w:compat>
    <w:useFELayout/>
    <w:compatSetting w:name="compatibilityMode" w:uri="http://schemas.microsoft.com/office/word" w:val="11"/>
  </w:compat>
  <w:rsids>
    <w:rsidRoot w:val="00000000"/>
    <w:rsid w:val="4F0703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SC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/>
      <w:suppressAutoHyphens/>
      <w:bidi w:val="0"/>
    </w:pPr>
    <w:rPr>
      <w:rFonts w:ascii="Calibri" w:hAnsi="Calibri" w:eastAsia="宋体" w:cs="Times New Roman"/>
      <w:color w:val="auto"/>
      <w:sz w:val="20"/>
      <w:szCs w:val="20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3">
    <w:name w:val="Body Text"/>
    <w:basedOn w:val="1"/>
    <w:uiPriority w:val="0"/>
    <w:pPr>
      <w:spacing w:before="0" w:after="140" w:line="276" w:lineRule="auto"/>
    </w:p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"/>
    <w:basedOn w:val="3"/>
    <w:uiPriority w:val="0"/>
    <w:rPr>
      <w:rFonts w:cs="Arial"/>
    </w:rPr>
  </w:style>
  <w:style w:type="character" w:customStyle="1" w:styleId="9">
    <w:name w:val="默认段落字体1"/>
    <w:uiPriority w:val="0"/>
  </w:style>
  <w:style w:type="character" w:customStyle="1" w:styleId="10">
    <w:name w:val="页脚 字符"/>
    <w:uiPriority w:val="0"/>
    <w:rPr>
      <w:sz w:val="18"/>
      <w:szCs w:val="18"/>
    </w:rPr>
  </w:style>
  <w:style w:type="character" w:customStyle="1" w:styleId="11">
    <w:name w:val="页眉 字符"/>
    <w:uiPriority w:val="0"/>
    <w:rPr>
      <w:sz w:val="18"/>
      <w:szCs w:val="18"/>
    </w:rPr>
  </w:style>
  <w:style w:type="character" w:customStyle="1" w:styleId="12">
    <w:name w:val="HTML 代码1"/>
    <w:basedOn w:val="9"/>
    <w:uiPriority w:val="0"/>
    <w:rPr>
      <w:rFonts w:ascii="Courier New" w:hAnsi="Courier New" w:cs="Courier New"/>
      <w:sz w:val="20"/>
    </w:rPr>
  </w:style>
  <w:style w:type="paragraph" w:customStyle="1" w:styleId="13">
    <w:name w:val="标题样式"/>
    <w:basedOn w:val="1"/>
    <w:next w:val="3"/>
    <w:uiPriority w:val="0"/>
    <w:pPr>
      <w:keepNext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customStyle="1" w:styleId="14">
    <w:name w:val="索引"/>
    <w:basedOn w:val="1"/>
    <w:uiPriority w:val="0"/>
    <w:pPr>
      <w:suppressLineNumbers/>
    </w:pPr>
    <w:rPr>
      <w:rFonts w:cs="Arial"/>
    </w:rPr>
  </w:style>
  <w:style w:type="paragraph" w:customStyle="1" w:styleId="15">
    <w:name w:val="页眉与页脚"/>
    <w:basedOn w:val="1"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16">
    <w:name w:val="列表段落"/>
    <w:basedOn w:val="1"/>
    <w:uiPriority w:val="0"/>
    <w:pPr>
      <w:ind w:left="0" w:leftChars="0" w:right="0" w:rightChars="0" w:firstLineChars="200"/>
    </w:pPr>
  </w:style>
  <w:style w:type="paragraph" w:customStyle="1" w:styleId="17">
    <w:name w:val="表格内容"/>
    <w:basedOn w:val="1"/>
    <w:uiPriority w:val="0"/>
    <w:pPr>
      <w:widowControl w:val="0"/>
      <w:suppressLineNumbers/>
    </w:pPr>
  </w:style>
  <w:style w:type="paragraph" w:customStyle="1" w:styleId="18">
    <w:name w:val="表格标题"/>
    <w:basedOn w:val="17"/>
    <w:uiPriority w:val="0"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417</Words>
  <Characters>531</Characters>
  <TotalTime>43200</TotalTime>
  <ScaleCrop>false</ScaleCrop>
  <LinksUpToDate>false</LinksUpToDate>
  <CharactersWithSpaces>540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2017-04-24T12:39:00Z</dcterms:created>
  <dc:creator>Administrator</dc:creator>
  <cp:lastModifiedBy>陈子钦</cp:lastModifiedBy>
  <cp:lastPrinted>2023-09-27T13:23:00Z</cp:lastPrinted>
  <dcterms:modified xsi:type="dcterms:W3CDTF">2026-09-14T09:14:13Z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0B560EA519844052A7F9BE9C89C24033_12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