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129874AF">
      <w:pPr>
        <w:spacing w:line="0" w:lineRule="atLeast"/>
        <w:rPr>
          <w:rFonts w:ascii="微软雅黑" w:hAnsi="微软雅黑" w:eastAsia="微软雅黑"/>
          <w:b/>
          <w:sz w:val="24"/>
          <w:szCs w:val="24"/>
        </w:rPr>
      </w:pPr>
      <w:r>
        <w:t xml:space="preserve"> </w:t>
      </w:r>
      <w:r>
        <w:rPr>
          <w:rFonts w:ascii="微软雅黑" w:hAnsi="微软雅黑" w:eastAsia="微软雅黑"/>
          <w:b/>
          <w:sz w:val="24"/>
          <w:szCs w:val="24"/>
        </w:rPr>
        <w:t>Yingde Guocai Fine Chemical</w:t>
      </w:r>
      <w:r>
        <w:rPr>
          <w:rFonts w:hint="eastAsia" w:ascii="微软雅黑" w:hAnsi="微软雅黑" w:eastAsia="微软雅黑"/>
          <w:b/>
          <w:sz w:val="24"/>
          <w:szCs w:val="24"/>
        </w:rPr>
        <w:t xml:space="preserve"> Limited Company</w:t>
      </w:r>
    </w:p>
    <w:p w14:paraId="6A98244B">
      <w:pPr>
        <w:spacing w:line="43" w:lineRule="exact"/>
        <w:rPr>
          <w:rFonts w:ascii="微软雅黑" w:hAnsi="微软雅黑" w:eastAsia="微软雅黑"/>
          <w:sz w:val="24"/>
        </w:rPr>
      </w:pPr>
    </w:p>
    <w:p w14:paraId="29CE9392">
      <w:pPr>
        <w:tabs>
          <w:tab w:val="left" w:pos="3360"/>
        </w:tabs>
        <w:spacing w:line="0" w:lineRule="atLeast"/>
        <w:rPr>
          <w:rFonts w:ascii="微软雅黑" w:hAnsi="微软雅黑" w:eastAsia="微软雅黑"/>
          <w:sz w:val="18"/>
        </w:rPr>
      </w:pPr>
      <w:r>
        <w:rPr>
          <w:rFonts w:hint="eastAsia" w:ascii="微软雅黑" w:hAnsi="微软雅黑" w:eastAsia="微软雅黑"/>
          <w:sz w:val="18"/>
        </w:rPr>
        <w:t>Tel</w:t>
      </w:r>
      <w:r>
        <w:rPr>
          <w:rFonts w:ascii="微软雅黑" w:hAnsi="微软雅黑" w:eastAsia="微软雅黑"/>
          <w:sz w:val="18"/>
        </w:rPr>
        <w:t>：86-763-2811205</w:t>
      </w:r>
      <w:r>
        <w:rPr>
          <w:rFonts w:ascii="微软雅黑" w:hAnsi="微软雅黑" w:eastAsia="微软雅黑"/>
        </w:rPr>
        <w:tab/>
      </w:r>
      <w:r>
        <w:rPr>
          <w:rFonts w:hint="eastAsia" w:ascii="微软雅黑" w:hAnsi="微软雅黑" w:eastAsia="微软雅黑"/>
          <w:sz w:val="18"/>
        </w:rPr>
        <w:t>Fax</w:t>
      </w:r>
      <w:r>
        <w:rPr>
          <w:rFonts w:ascii="微软雅黑" w:hAnsi="微软雅黑" w:eastAsia="微软雅黑"/>
          <w:sz w:val="18"/>
        </w:rPr>
        <w:t>：86-763-2811024</w:t>
      </w:r>
    </w:p>
    <w:p w14:paraId="41A3A929">
      <w:pPr>
        <w:spacing w:line="14" w:lineRule="exact"/>
        <w:rPr>
          <w:rFonts w:ascii="微软雅黑" w:hAnsi="微软雅黑" w:eastAsia="微软雅黑"/>
          <w:sz w:val="24"/>
        </w:rPr>
      </w:pPr>
    </w:p>
    <w:p w14:paraId="0AFB5713">
      <w:pPr>
        <w:spacing w:line="0" w:lineRule="atLeast"/>
        <w:rPr>
          <w:rFonts w:ascii="微软雅黑" w:hAnsi="微软雅黑" w:eastAsia="微软雅黑"/>
          <w:sz w:val="18"/>
        </w:rPr>
      </w:pPr>
      <w:r>
        <w:rPr>
          <w:rFonts w:hint="eastAsia" w:ascii="微软雅黑" w:hAnsi="微软雅黑" w:eastAsia="微软雅黑"/>
          <w:sz w:val="18"/>
        </w:rPr>
        <w:t>Address</w:t>
      </w:r>
      <w:r>
        <w:rPr>
          <w:rFonts w:ascii="微软雅黑" w:hAnsi="微软雅黑" w:eastAsia="微软雅黑"/>
          <w:sz w:val="18"/>
        </w:rPr>
        <w:t>：Kaidi Industrial Park, genggukeng, Taiping Village, Baisha Town, Yingde City, Guangdong Province</w:t>
      </w:r>
    </w:p>
    <w:p w14:paraId="4DB29929">
      <w:pPr>
        <w:spacing w:line="200" w:lineRule="exact"/>
        <w:rPr>
          <w:rFonts w:ascii="Times New Roman" w:hAnsi="Times New Roman" w:eastAsia="Times New Roman"/>
          <w:sz w:val="24"/>
        </w:rPr>
      </w:pPr>
      <w:r>
        <w:rPr>
          <w:rFonts w:ascii="宋体" w:hAnsi="宋体"/>
          <w:sz w:val="18"/>
        </w:rPr>
        <w:pict>
          <v:line id="_x0000_s1028" o:spid="_x0000_s1028" o:spt="20" style="position:absolute;left:0pt;margin-left:-1.75pt;margin-top:13.1pt;height:0pt;width:484.85pt;z-index:-251657216;mso-width-relative:page;mso-height-relative:page;" coordsize="21600,21600" o:allowincell="f">
            <v:path arrowok="t"/>
            <v:fill focussize="0,0"/>
            <v:stroke weight="0.71992125984252pt"/>
            <v:imagedata o:title=""/>
            <o:lock v:ext="edit"/>
          </v:line>
        </w:pict>
      </w:r>
    </w:p>
    <w:p w14:paraId="6F8B29FE">
      <w:pPr>
        <w:spacing w:line="279" w:lineRule="exact"/>
        <w:rPr>
          <w:rFonts w:hint="eastAsia" w:ascii="Times New Roman" w:hAnsi="Times New Roman" w:eastAsia="等线"/>
          <w:sz w:val="24"/>
        </w:rPr>
      </w:pPr>
    </w:p>
    <w:p w14:paraId="0C442A85">
      <w:pPr>
        <w:spacing w:line="0" w:lineRule="atLeast"/>
        <w:jc w:val="center"/>
        <w:rPr>
          <w:rFonts w:ascii="Times New Roman" w:hAnsi="Times New Roman" w:eastAsia="宋体" w:cs="Times New Roman"/>
          <w:b/>
          <w:sz w:val="32"/>
        </w:rPr>
      </w:pPr>
      <w:r>
        <w:rPr>
          <w:rFonts w:cs="Times New Roman"/>
          <w:b/>
          <w:sz w:val="32"/>
        </w:rPr>
        <w:t>Aliphatic Polyurethane Adhesive Resin PU-1001</w:t>
      </w:r>
    </w:p>
    <w:p w14:paraId="51593226">
      <w:pPr>
        <w:spacing w:line="269" w:lineRule="exact"/>
        <w:rPr>
          <w:rFonts w:ascii="Times New Roman" w:hAnsi="Times New Roman" w:eastAsia="Times New Roman" w:cs="Times New Roman"/>
          <w:sz w:val="24"/>
        </w:rPr>
      </w:pPr>
    </w:p>
    <w:p w14:paraId="5CC1C0F8">
      <w:pPr>
        <w:spacing w:line="0" w:lineRule="atLeast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Product Description</w:t>
      </w:r>
    </w:p>
    <w:p w14:paraId="32ED0BD0">
      <w:pPr>
        <w:spacing w:line="0" w:lineRule="atLeast"/>
        <w:rPr>
          <w:rFonts w:ascii="Times New Roman" w:hAnsi="Times New Roman" w:cs="Times New Roman"/>
          <w:b/>
          <w:sz w:val="8"/>
          <w:szCs w:val="2"/>
        </w:rPr>
      </w:pPr>
    </w:p>
    <w:p w14:paraId="4DEFA04B">
      <w:pPr>
        <w:spacing w:line="324" w:lineRule="auto"/>
        <w:ind w:left="0" w:leftChars="0" w:right="0" w:rightChars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PU-1001 is an aliphatic anionic waterborne polyurethane dispersion with strong adhesion, used to improve interlayer adhesion.</w:t>
      </w:r>
    </w:p>
    <w:p w14:paraId="3F8CE381">
      <w:pPr>
        <w:spacing w:line="0" w:lineRule="atLeast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Supply Form</w:t>
      </w:r>
    </w:p>
    <w:p w14:paraId="6C327B6F">
      <w:pPr>
        <w:tabs>
          <w:tab w:val="left" w:pos="832"/>
        </w:tabs>
        <w:spacing w:line="0" w:lineRule="atLeast"/>
        <w:rPr>
          <w:rFonts w:ascii="Times New Roman" w:hAnsi="Times New Roman" w:cs="Times New Roman"/>
          <w:b/>
          <w:sz w:val="10"/>
          <w:szCs w:val="2"/>
          <w:lang w:eastAsia="zh-CN"/>
        </w:rPr>
      </w:pPr>
      <w:r>
        <w:rPr>
          <w:rFonts w:ascii="Times New Roman" w:hAnsi="Times New Roman" w:cs="Times New Roman"/>
          <w:b/>
          <w:sz w:val="13"/>
          <w:szCs w:val="6"/>
          <w:lang w:eastAsia="zh-CN"/>
        </w:rPr>
        <w:tab/>
      </w:r>
    </w:p>
    <w:p w14:paraId="00F5A91C">
      <w:pPr>
        <w:spacing w:line="324" w:lineRule="auto"/>
        <w:ind w:left="0" w:leftChars="0" w:right="0" w:rightChars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Approx. 22% solids aqueous dispersion.</w:t>
      </w:r>
    </w:p>
    <w:p w14:paraId="38C4A1E9">
      <w:pPr>
        <w:spacing w:line="0" w:lineRule="atLeast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Technical Data</w:t>
      </w:r>
    </w:p>
    <w:p w14:paraId="1910790B">
      <w:pPr>
        <w:spacing w:line="213" w:lineRule="exact"/>
        <w:rPr>
          <w:rFonts w:ascii="Times New Roman" w:hAnsi="Times New Roman" w:cs="Times New Roman"/>
          <w:sz w:val="13"/>
          <w:szCs w:val="8"/>
        </w:rPr>
      </w:pPr>
    </w:p>
    <w:tbl>
      <w:tblPr>
        <w:tblStyle w:val="5"/>
        <w:tblW w:w="4458" w:type="pct"/>
        <w:tblInd w:w="475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999"/>
        <w:gridCol w:w="2025"/>
        <w:gridCol w:w="816"/>
        <w:gridCol w:w="2764"/>
      </w:tblGrid>
      <w:tr w14:paraId="4A8E828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 w:val="0"/>
            <w:vAlign w:val="center"/>
          </w:tcPr>
          <w:p w14:paraId="75DE77E4">
            <w:pPr>
              <w:spacing w:line="0" w:lineRule="atLeast"/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Item</w:t>
            </w:r>
          </w:p>
        </w:tc>
        <w:tc>
          <w:tcPr>
            <w:tcW w:w="2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vAlign w:val="center"/>
          </w:tcPr>
          <w:p w14:paraId="12E036C4">
            <w:pPr>
              <w:spacing w:line="0" w:lineRule="atLeast"/>
              <w:jc w:val="center"/>
              <w:rPr>
                <w:rFonts w:cs="Times New Roman" w:ascii="Times New Roman" w:hAnsi="Times New Roman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>Index</w:t>
            </w:r>
          </w:p>
        </w:tc>
        <w:tc>
          <w:tcPr>
            <w:tcW w:w="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vAlign w:val="top"/>
          </w:tcPr>
          <w:p w14:paraId="7D9C3531">
            <w:pPr>
              <w:spacing w:line="0" w:lineRule="atLeast"/>
              <w:jc w:val="center"/>
              <w:rPr>
                <w:rFonts w:cs="Times New Roman" w:ascii="Times New Roman" w:hAnsi="Times New Roman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>Unit</w:t>
            </w:r>
          </w:p>
        </w:tc>
        <w:tc>
          <w:tcPr>
            <w:tcW w:w="2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vAlign w:val="center"/>
          </w:tcPr>
          <w:p w14:paraId="2F0D5789">
            <w:pPr>
              <w:spacing w:line="0" w:lineRule="atLeast"/>
              <w:jc w:val="center"/>
              <w:rPr>
                <w:rFonts w:cs="Times New Roman" w:ascii="Times New Roman" w:hAnsi="Times New Roman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>Test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method</w:t>
            </w:r>
          </w:p>
        </w:tc>
      </w:tr>
      <w:tr w14:paraId="43B7F51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8" w:hRule="atLeast"/>
        </w:trPr>
        <w:tc>
          <w:tcPr>
            <w:tcW w:w="2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670D81C6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Appearance</w:t>
            </w:r>
          </w:p>
        </w:tc>
        <w:tc>
          <w:tcPr>
            <w:tcW w:w="2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2B9AFAF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Translucent liquid with blue light</w:t>
            </w:r>
          </w:p>
        </w:tc>
        <w:tc>
          <w:tcPr>
            <w:tcW w:w="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72485ADA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</w:p>
        </w:tc>
        <w:tc>
          <w:tcPr>
            <w:tcW w:w="2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E287977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Visual</w:t>
            </w:r>
          </w:p>
        </w:tc>
      </w:tr>
      <w:tr w14:paraId="15FEE3A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2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163E15A1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Solid content</w:t>
            </w:r>
          </w:p>
        </w:tc>
        <w:tc>
          <w:tcPr>
            <w:tcW w:w="2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2F560449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22±1</w:t>
            </w:r>
          </w:p>
        </w:tc>
        <w:tc>
          <w:tcPr>
            <w:tcW w:w="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56EE16D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%</w:t>
            </w:r>
          </w:p>
        </w:tc>
        <w:tc>
          <w:tcPr>
            <w:tcW w:w="2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545ED4E0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150°C, 30 min, forced-air oven</w:t>
            </w:r>
          </w:p>
        </w:tc>
      </w:tr>
      <w:tr w14:paraId="3C9F33B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2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12CBB145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Viscosity (25°C)</w:t>
            </w:r>
          </w:p>
        </w:tc>
        <w:tc>
          <w:tcPr>
            <w:tcW w:w="2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8FF2096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&lt;500</w:t>
            </w:r>
          </w:p>
        </w:tc>
        <w:tc>
          <w:tcPr>
            <w:tcW w:w="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1A245982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mPa·s</w:t>
            </w:r>
          </w:p>
        </w:tc>
        <w:tc>
          <w:tcPr>
            <w:tcW w:w="2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2DF973C8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GB/T 2794-2022</w:t>
            </w:r>
          </w:p>
        </w:tc>
      </w:tr>
      <w:tr w14:paraId="2CCE847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2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6A725C38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pH value (diluted 1:10 in water)</w:t>
            </w:r>
          </w:p>
        </w:tc>
        <w:tc>
          <w:tcPr>
            <w:tcW w:w="2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827D3EE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7.0-9.0</w:t>
            </w:r>
          </w:p>
        </w:tc>
        <w:tc>
          <w:tcPr>
            <w:tcW w:w="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7CC671AC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</w:p>
        </w:tc>
        <w:tc>
          <w:tcPr>
            <w:tcW w:w="2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5D0F7D9B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GB 6920-86</w:t>
            </w:r>
          </w:p>
        </w:tc>
      </w:tr>
      <w:tr w14:paraId="2BFD487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2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72F1FBC8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Density (25°C)</w:t>
            </w:r>
          </w:p>
        </w:tc>
        <w:tc>
          <w:tcPr>
            <w:tcW w:w="2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AC8E9CE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Approx. 1.06</w:t>
            </w:r>
          </w:p>
        </w:tc>
        <w:tc>
          <w:tcPr>
            <w:tcW w:w="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14D7CA73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g/cm³</w:t>
            </w:r>
          </w:p>
        </w:tc>
        <w:tc>
          <w:tcPr>
            <w:tcW w:w="2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2C386A07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GB/T 4472-2011</w:t>
            </w:r>
          </w:p>
        </w:tc>
      </w:tr>
    </w:tbl>
    <w:p w14:paraId="7A4CF332">
      <w:pPr>
        <w:spacing w:line="207" w:lineRule="exact"/>
        <w:rPr>
          <w:rFonts w:ascii="Times New Roman" w:hAnsi="Times New Roman" w:cs="Times New Roman"/>
          <w:sz w:val="16"/>
          <w:szCs w:val="11"/>
        </w:rPr>
      </w:pPr>
    </w:p>
    <w:p w14:paraId="69CB0E16">
      <w:pPr>
        <w:spacing w:line="0" w:lineRule="atLeast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Product Features</w:t>
      </w:r>
    </w:p>
    <w:p w14:paraId="706BAB2B">
      <w:pPr>
        <w:spacing w:line="0" w:lineRule="atLeast"/>
        <w:rPr>
          <w:rFonts w:ascii="Times New Roman" w:hAnsi="Times New Roman" w:cs="Times New Roman"/>
          <w:b/>
          <w:sz w:val="8"/>
          <w:szCs w:val="2"/>
        </w:rPr>
      </w:pPr>
    </w:p>
    <w:p w14:paraId="6FB5761A">
      <w:pPr>
        <w:numPr>
          <w:ilvl w:val="0"/>
          <w:numId w:val="1"/>
        </w:numPr>
        <w:spacing w:line="324" w:lineRule="auto"/>
        <w:ind w:left="0" w:leftChars="0" w:right="0" w:rightChars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Very soft film formation;</w:t>
      </w:r>
    </w:p>
    <w:p w14:paraId="45AD7566">
      <w:pPr>
        <w:numPr>
          <w:ilvl w:val="0"/>
          <w:numId w:val="1"/>
        </w:numPr>
        <w:spacing w:line="324" w:lineRule="auto"/>
        <w:ind w:left="0" w:leftChars="0" w:right="0" w:rightChars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Excellent adhesion;</w:t>
      </w:r>
    </w:p>
    <w:p w14:paraId="70397D73">
      <w:pPr>
        <w:spacing w:line="0" w:lineRule="atLeast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Application</w:t>
      </w:r>
    </w:p>
    <w:p w14:paraId="4DBA7B31">
      <w:pPr>
        <w:spacing w:line="0" w:lineRule="atLeast"/>
        <w:rPr>
          <w:rFonts w:ascii="Times New Roman" w:hAnsi="Times New Roman" w:cs="Times New Roman"/>
          <w:b/>
          <w:sz w:val="13"/>
          <w:szCs w:val="6"/>
        </w:rPr>
      </w:pPr>
    </w:p>
    <w:p w14:paraId="3C9071F3">
      <w:pPr>
        <w:spacing w:line="324" w:lineRule="auto"/>
        <w:ind w:left="0" w:leftChars="0" w:right="0" w:rightChars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PU-1001 forms a very soft film with strong adhesion, suitable for use alone as a tie coat or blended with other materials to improve interlayer adhesion and physical properties without increasing coating stiffness.</w:t>
      </w:r>
    </w:p>
    <w:p w14:paraId="599CEA9B">
      <w:pPr>
        <w:spacing w:line="324" w:lineRule="auto"/>
        <w:ind w:left="0" w:leftChars="0" w:right="0" w:rightChars="0"/>
        <w:rPr>
          <w:rFonts w:ascii="Times New Roman" w:hAnsi="Times New Roman" w:cs="Times New Roman"/>
          <w:sz w:val="4"/>
          <w:szCs w:val="2"/>
        </w:rPr>
      </w:pPr>
    </w:p>
    <w:p w14:paraId="7EA4674D">
      <w:pPr>
        <w:spacing w:line="0" w:lineRule="atLeast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Storage</w:t>
      </w:r>
    </w:p>
    <w:p w14:paraId="1262FEEC">
      <w:pPr>
        <w:spacing w:line="0" w:lineRule="atLeast"/>
        <w:rPr>
          <w:rFonts w:ascii="Times New Roman" w:hAnsi="Times New Roman" w:cs="Times New Roman"/>
          <w:b/>
          <w:sz w:val="8"/>
          <w:szCs w:val="4"/>
        </w:rPr>
      </w:pPr>
    </w:p>
    <w:p w14:paraId="2E3E8968">
      <w:pPr>
        <w:spacing w:line="324" w:lineRule="auto"/>
        <w:ind w:left="0" w:leftChars="0" w:right="0" w:rightChars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Store in a ventilated, dry area at 5-35°C; protect from freezing. Shelf life is 6 months from shipment. Products older than 6 months should be re-evaluated before use.</w:t>
      </w:r>
      <w:bookmarkStart w:id="0" w:name="_GoBack"/>
      <w:bookmarkEnd w:id="0"/>
    </w:p>
    <w:sectPr>
      <w:pgSz w:w="11900" w:h="16840"/>
      <w:pgMar w:top="852" w:right="1120" w:bottom="1440" w:left="1140" w:header="0" w:footer="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B2EADC4"/>
    <w:multiLevelType w:val="singleLevel"/>
    <w:tmpl w:val="CB2EADC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hyphenationZone w:val="36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MzcwMjQ2Y2VjOWFhZTAwOTVmM2FmNjdjM2EzMTA0M2EifQ=="/>
  </w:docVars>
  <w:rsids>
    <w:rsidRoot w:val="00C33E44"/>
    <w:rsid w:val="00007E17"/>
    <w:rsid w:val="00034B59"/>
    <w:rsid w:val="00045EFD"/>
    <w:rsid w:val="0004674D"/>
    <w:rsid w:val="000522A7"/>
    <w:rsid w:val="000B2533"/>
    <w:rsid w:val="00111DCC"/>
    <w:rsid w:val="001E5BF7"/>
    <w:rsid w:val="0020230F"/>
    <w:rsid w:val="00311853"/>
    <w:rsid w:val="00332EBF"/>
    <w:rsid w:val="0034486F"/>
    <w:rsid w:val="00355D73"/>
    <w:rsid w:val="0037193C"/>
    <w:rsid w:val="00483286"/>
    <w:rsid w:val="004B4B27"/>
    <w:rsid w:val="005512A2"/>
    <w:rsid w:val="005762FB"/>
    <w:rsid w:val="00595107"/>
    <w:rsid w:val="005E6C3A"/>
    <w:rsid w:val="005E7FFC"/>
    <w:rsid w:val="006029C8"/>
    <w:rsid w:val="00653813"/>
    <w:rsid w:val="0068349E"/>
    <w:rsid w:val="006D7F93"/>
    <w:rsid w:val="0074055C"/>
    <w:rsid w:val="00766318"/>
    <w:rsid w:val="008221D5"/>
    <w:rsid w:val="00825AC0"/>
    <w:rsid w:val="00882F3E"/>
    <w:rsid w:val="00894E97"/>
    <w:rsid w:val="008D6C0B"/>
    <w:rsid w:val="0097292F"/>
    <w:rsid w:val="00996317"/>
    <w:rsid w:val="009B5F47"/>
    <w:rsid w:val="00A06A33"/>
    <w:rsid w:val="00B549B9"/>
    <w:rsid w:val="00B9635E"/>
    <w:rsid w:val="00BE3056"/>
    <w:rsid w:val="00C33E44"/>
    <w:rsid w:val="00C8304D"/>
    <w:rsid w:val="00C8389C"/>
    <w:rsid w:val="00D359FB"/>
    <w:rsid w:val="00DD7590"/>
    <w:rsid w:val="00E41927"/>
    <w:rsid w:val="00E47392"/>
    <w:rsid w:val="00E57EDB"/>
    <w:rsid w:val="00E762D7"/>
    <w:rsid w:val="00E938A6"/>
    <w:rsid w:val="00EA5464"/>
    <w:rsid w:val="00F43442"/>
    <w:rsid w:val="00FE06DB"/>
    <w:rsid w:val="02D70960"/>
    <w:rsid w:val="05976DBC"/>
    <w:rsid w:val="17DE76A9"/>
    <w:rsid w:val="1B010DF9"/>
    <w:rsid w:val="25B313D1"/>
    <w:rsid w:val="2923423D"/>
    <w:rsid w:val="2FE9719E"/>
    <w:rsid w:val="35A218A7"/>
    <w:rsid w:val="385A0A58"/>
    <w:rsid w:val="40F7426F"/>
    <w:rsid w:val="43591461"/>
    <w:rsid w:val="4AEE57E1"/>
    <w:rsid w:val="5A260C9F"/>
    <w:rsid w:val="639B6AA3"/>
    <w:rsid w:val="719838D1"/>
    <w:rsid w:val="73552DC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9"/>
    <w:pPr>
      <w:spacing w:before="100" w:beforeAutospacing="1" w:after="100" w:afterAutospacing="1"/>
      <w:jc w:val="left"/>
      <w:outlineLvl w:val="2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unhideWhenUsed/>
    <w:uiPriority w:val="1"/>
  </w:style>
  <w:style w:type="table" w:default="1" w:styleId="5">
    <w:name w:val="Normal Table"/>
    <w:unhideWhenUsed/>
    <w:qFormat/>
    <w:uiPriority w:val="99"/>
    <w:tblPr/>
  </w:style>
  <w:style w:type="paragraph" w:styleId="3">
    <w:name w:val="footer"/>
    <w:basedOn w:val="1"/>
    <w:link w:val="7"/>
    <w:unhideWhenUsed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4">
    <w:name w:val="header"/>
    <w:basedOn w:val="1"/>
    <w:link w:val="8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脚 字符"/>
    <w:link w:val="3"/>
    <w:semiHidden/>
    <w:uiPriority w:val="99"/>
    <w:rPr>
      <w:sz w:val="18"/>
      <w:szCs w:val="18"/>
    </w:rPr>
  </w:style>
  <w:style w:type="character" w:customStyle="1" w:styleId="8">
    <w:name w:val="页眉 字符"/>
    <w:link w:val="4"/>
    <w:semiHidden/>
    <w:uiPriority w:val="99"/>
    <w:rPr>
      <w:sz w:val="18"/>
      <w:szCs w:val="18"/>
    </w:rPr>
  </w:style>
  <w:style w:type="paragraph" w:styleId="9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8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217</Words>
  <Characters>1292</Characters>
  <Lines>11</Lines>
  <Paragraphs>3</Paragraphs>
  <TotalTime>0</TotalTime>
  <ScaleCrop>false</ScaleCrop>
  <LinksUpToDate>false</LinksUpToDate>
  <CharactersWithSpaces>1459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2017-04-24T04:39:00Z</dcterms:created>
  <dc:creator>Administrator</dc:creator>
  <cp:lastModifiedBy>陈子钦</cp:lastModifiedBy>
  <cp:lastPrinted>2020-08-01T02:55:00Z</cp:lastPrinted>
  <dcterms:modified xsi:type="dcterms:W3CDTF">2026-09-14T09:13:20Z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69729E1DDA3B4E6295D506B6B51DDD91_13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