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eastAsia="微软雅黑" w:cs="微软雅黑" w:ascii="微软雅黑" w:hAnsi="微软雅黑"/>
          <w:b/>
          <w:sz w:val="24"/>
          <w:szCs w:val="24"/>
        </w:rPr>
        <w:t>Guangzhou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Guanzhi New Material Technology Limited Company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Tel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eastAsia="微软雅黑" w:cs="Times New Roman" w:hint="eastAsia" w:ascii="微软雅黑" w:hAnsi="微软雅黑"/>
          <w:sz w:val="18"/>
        </w:rPr>
        <w:t>Fax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 w:hint="eastAsia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Address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 w:hint="eastAsia"/>
          <w:sz w:val="18"/>
        </w:rPr>
        <w:t>Room 1106, Block A of Guangzhou International Business Incubator, No. 3 Juquan Road, Huangpu District, Guangzhou City</w:t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Times New Roman" w:hAnsi="Times New Roman" w:eastAsia="Times New Roman" w:cs="Times New Roman"/>
          <w:sz w:val="18"/>
        </w:rPr>
      </w:pPr>
      <w:r>
        <w:rPr>
          <w:rFonts w:eastAsia="Times New Roman" w:cs="Times New Roman" w:hint="eastAsia"/>
          <w:sz w:val="18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766"/>
        <w:gridCol w:w="1842"/>
        <w:gridCol w:w="1174"/>
        <w:gridCol w:w="2706"/>
      </w:tblGrid>
      <w:tr>
        <w:trPr>
          <w:trHeight w:val="274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7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7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  <w:font w:name="宋体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8640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2026-09-04T16:09:08Z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