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0"/>
        <w:ind w:start="1360" w:end="0"/>
        <w:rPr>
          <w:rFonts w:ascii="宋体" w:hAnsi="宋体" w:cs="宋体"/>
          <w:b/>
          <w:sz w:val="28"/>
        </w:rPr>
      </w:pPr>
      <w:bookmarkStart w:id="0" w:name="page1"/>
      <w:bookmarkEnd w:id="0"/>
      <w:r>
        <w:rPr>
          <w:rFonts w:eastAsia="微软雅黑" w:cs="微软雅黑" w:ascii="微软雅黑" w:hAnsi="微软雅黑"/>
          <w:b/>
          <w:sz w:val="24"/>
          <w:szCs w:val="24"/>
        </w:rPr>
        <w:t>Guangzhou</w:t>
      </w:r>
      <w:r>
        <w:rPr>
          <w:rFonts w:eastAsia="微软雅黑" w:cs="微软雅黑" w:hint="eastAsia" w:ascii="微软雅黑" w:hAnsi="微软雅黑"/>
          <w:b/>
          <w:sz w:val="24"/>
          <w:szCs w:val="24"/>
        </w:rPr>
        <w:t xml:space="preserve"> Guanzhi New Material Technology Limited Company</w:t>
      </w:r>
    </w:p>
    <w:p>
      <w:pPr>
        <w:pStyle w:val="Normal"/>
        <w:spacing w:lineRule="exact" w:line="43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b/>
          <w:sz w:val="24"/>
        </w:rPr>
      </w:r>
    </w:p>
    <w:p>
      <w:pPr>
        <w:pStyle w:val="Normal"/>
        <w:tabs>
          <w:tab w:val="clear" w:pos="720"/>
          <w:tab w:val="left" w:pos="3360" w:leader="none"/>
        </w:tabs>
        <w:spacing w:lineRule="atLeast" w:line="0"/>
        <w:ind w:start="1340" w:end="0"/>
        <w:rPr>
          <w:rFonts w:ascii="Times New Roman" w:hAnsi="Times New Roman" w:eastAsia="Times New Roman" w:cs="Times New Roman"/>
          <w:sz w:val="18"/>
        </w:rPr>
      </w:pPr>
      <w:r>
        <w:rPr>
          <w:rFonts w:eastAsia="微软雅黑" w:cs="Times New Roman" w:hint="eastAsia" w:ascii="微软雅黑" w:hAnsi="微软雅黑"/>
          <w:sz w:val="18"/>
        </w:rPr>
        <w:t>Tel</w:t>
      </w:r>
      <w:r>
        <w:rPr>
          <w:rFonts w:ascii="微软雅黑" w:hAnsi="微软雅黑" w:cs="Times New Roman" w:hint="eastAsia" w:eastAsia="微软雅黑"/>
          <w:sz w:val="18"/>
        </w:rPr>
        <w:t>：</w:t>
      </w:r>
      <w:r>
        <w:rPr>
          <w:rFonts w:eastAsia="Times New Roman" w:cs="Times New Roman"/>
          <w:sz w:val="18"/>
        </w:rPr>
        <w:t>020-82567990</w:t>
      </w:r>
      <w:r>
        <w:rPr>
          <w:rFonts w:eastAsia="Times New Roman" w:cs="Times New Roman"/>
        </w:rPr>
        <w:tab/>
      </w:r>
      <w:r>
        <w:rPr>
          <w:rFonts w:eastAsia="微软雅黑" w:cs="Times New Roman" w:hint="eastAsia" w:ascii="微软雅黑" w:hAnsi="微软雅黑"/>
          <w:sz w:val="18"/>
        </w:rPr>
        <w:t>Fax</w:t>
      </w:r>
      <w:r>
        <w:rPr>
          <w:rFonts w:ascii="微软雅黑" w:hAnsi="微软雅黑" w:cs="Times New Roman" w:hint="eastAsia" w:eastAsia="微软雅黑"/>
          <w:sz w:val="18"/>
        </w:rPr>
        <w:t>：</w:t>
      </w:r>
      <w:r>
        <w:rPr>
          <w:rFonts w:eastAsia="Times New Roman" w:cs="Times New Roman"/>
          <w:sz w:val="18"/>
        </w:rPr>
        <w:t>020-32214789</w:t>
      </w:r>
    </w:p>
    <w:p>
      <w:pPr>
        <w:pStyle w:val="Normal"/>
        <w:spacing w:lineRule="exact" w:line="14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  <w:drawing>
          <wp:anchor distT="0" distB="0" distL="114935" distR="114935" simplePos="0" relativeHeight="3" behindDoc="0" locked="0" layoutInCell="0" allowOverlap="1">
            <wp:simplePos x="0" y="0"/>
            <wp:positionH relativeFrom="column">
              <wp:posOffset>-48895</wp:posOffset>
            </wp:positionH>
            <wp:positionV relativeFrom="paragraph">
              <wp:posOffset>-396875</wp:posOffset>
            </wp:positionV>
            <wp:extent cx="857250" cy="533400"/>
            <wp:effectExtent l="0" t="0" r="0" b="0"/>
            <wp:wrapSquare wrapText="bothSides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42" t="-68" r="-42" b="-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20"/>
          <w:tab w:val="left" w:pos="3360" w:leader="none"/>
        </w:tabs>
        <w:spacing w:lineRule="atLeast" w:line="0"/>
        <w:ind w:start="1340" w:end="0"/>
        <w:rPr>
          <w:rFonts w:ascii="Times New Roman" w:hAnsi="Times New Roman" w:eastAsia="Times New Roman" w:cs="Times New Roman" w:hint="eastAsia"/>
          <w:sz w:val="18"/>
        </w:rPr>
      </w:pPr>
      <w:r>
        <w:rPr>
          <w:rFonts w:eastAsia="微软雅黑" w:cs="Times New Roman" w:hint="eastAsia" w:ascii="微软雅黑" w:hAnsi="微软雅黑"/>
          <w:sz w:val="18"/>
        </w:rPr>
        <w:t>Address</w:t>
      </w:r>
      <w:r>
        <w:rPr>
          <w:rFonts w:ascii="微软雅黑" w:hAnsi="微软雅黑" w:cs="Times New Roman" w:hint="eastAsia" w:eastAsia="微软雅黑"/>
          <w:sz w:val="18"/>
        </w:rPr>
        <w:t>：</w:t>
      </w:r>
      <w:r>
        <w:rPr>
          <w:rFonts w:eastAsia="Times New Roman" w:cs="Times New Roman" w:hint="eastAsia"/>
          <w:sz w:val="18"/>
        </w:rPr>
        <w:t>Room 1106, Block A of Guangzhou International Business Incubator, No. 3 Juquan Road, Huangpu District, Guangzhou City</w:t>
      </w:r>
    </w:p>
    <w:p>
      <w:pPr>
        <w:pStyle w:val="Normal"/>
        <w:tabs>
          <w:tab w:val="clear" w:pos="720"/>
          <w:tab w:val="left" w:pos="3360" w:leader="none"/>
        </w:tabs>
        <w:spacing w:lineRule="atLeast" w:line="0"/>
        <w:rPr>
          <w:rFonts w:ascii="Times New Roman" w:hAnsi="Times New Roman" w:eastAsia="Times New Roman" w:cs="Times New Roman"/>
          <w:sz w:val="18"/>
        </w:rPr>
      </w:pPr>
      <w:r>
        <w:rPr>
          <w:rFonts w:eastAsia="Times New Roman" w:cs="Times New Roman" w:hint="eastAsia"/>
          <w:sz w:val="18"/>
        </w:rPr>
        <mc:AlternateContent>
          <mc:Choice Requires="wps">
            <w:drawing>
              <wp:anchor distT="0" distB="0" distL="114935" distR="114935" simplePos="0" relativeHeight="2" behindDoc="1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166370</wp:posOffset>
                </wp:positionV>
                <wp:extent cx="6157595" cy="0"/>
                <wp:effectExtent l="0" t="4445" r="0" b="4445"/>
                <wp:wrapNone/>
                <wp:docPr id="2" name="直线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7440" cy="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.75pt,13.1pt" to="483.05pt,13.1pt" stroked="t" o:allowincell="f" style="position:absolute">
                <v:stroke color="black" weight="90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atLeast" w:line="0"/>
        <w:rPr>
          <w:rFonts w:ascii="Times New Roman" w:hAnsi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atLeast" w:line="0"/>
        <w:ind w:start="3020" w:end="0"/>
        <w:rPr>
          <w:rFonts w:ascii="Times New Roman" w:hAnsi="Times New Roman" w:cs="Times New Roman" w:hint="eastAsia"/>
          <w:b/>
          <w:sz w:val="32"/>
        </w:rPr>
      </w:pPr>
      <w:r>
        <w:rPr>
          <w:rFonts w:ascii="Times New Roman" w:hAnsi="Times New Roman" w:cs="Times New Roman" w:hint="eastAsia"/>
          <w:b/>
          <w:sz w:val="32"/>
        </w:rPr>
        <w:t>水性环氧分散体</w:t>
      </w:r>
      <w:r>
        <w:rPr>
          <w:rFonts w:cs="Times New Roman" w:hint="eastAsia"/>
          <w:b/>
          <w:sz w:val="32"/>
        </w:rPr>
        <w:t>EP-1704</w:t>
      </w:r>
    </w:p>
    <w:p>
      <w:pPr>
        <w:pStyle w:val="Normal"/>
        <w:spacing w:lineRule="exact" w:line="269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hint="eastAsia"/>
          <w:b/>
          <w:sz w:val="24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Characterization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6"/>
          <w:szCs w:val="6"/>
        </w:rPr>
      </w:pPr>
      <w:r>
        <w:rPr>
          <w:rFonts w:cs="宋体" w:hint="eastAsia" w:ascii="宋体" w:hAnsi="宋体"/>
          <w:sz w:val="24"/>
        </w:rPr>
        <w:t>EP-1704</w:t>
      </w:r>
      <w:r>
        <w:rPr>
          <w:rFonts w:ascii="宋体" w:hAnsi="宋体" w:cs="宋体" w:hint="eastAsia"/>
          <w:sz w:val="24"/>
        </w:rPr>
        <w:t>是</w:t>
      </w:r>
      <w:r>
        <w:rPr>
          <w:rFonts w:cs="宋体" w:hint="eastAsia" w:ascii="宋体" w:hAnsi="宋体"/>
          <w:sz w:val="24"/>
        </w:rPr>
        <w:t>E20</w:t>
      </w:r>
      <w:r>
        <w:rPr>
          <w:rFonts w:ascii="宋体" w:hAnsi="宋体" w:cs="宋体" w:hint="eastAsia"/>
          <w:sz w:val="24"/>
        </w:rPr>
        <w:t>环氧树脂的水分散体，特别适用于水性金属防锈底漆。</w:t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Supply Form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36"/>
          <w:szCs w:val="24"/>
        </w:rPr>
      </w:pPr>
      <w:r>
        <w:rPr>
          <w:rFonts w:ascii="宋体" w:hAnsi="宋体" w:cs="宋体"/>
          <w:sz w:val="24"/>
          <w:szCs w:val="24"/>
        </w:rPr>
        <w:t xml:space="preserve">约 </w:t>
      </w:r>
      <w:r>
        <w:rPr>
          <w:rFonts w:eastAsia="宋体" w:cs="宋体" w:ascii="宋体" w:hAnsi="宋体"/>
          <w:sz w:val="24"/>
          <w:szCs w:val="24"/>
        </w:rPr>
        <w:t xml:space="preserve">22% </w:t>
      </w:r>
      <w:r>
        <w:rPr>
          <w:rFonts w:ascii="宋体" w:hAnsi="宋体" w:cs="宋体"/>
          <w:sz w:val="24"/>
          <w:szCs w:val="24"/>
        </w:rPr>
        <w:t>固含水分散体</w:t>
      </w:r>
      <w:r>
        <w:rPr>
          <w:rFonts w:ascii="宋体" w:hAnsi="宋体" w:cs="宋体" w:hint="eastAsia"/>
          <w:sz w:val="24"/>
        </w:rPr>
        <w:t>。</w:t>
      </w:r>
    </w:p>
    <w:p>
      <w:pPr>
        <w:pStyle w:val="Normal"/>
        <w:spacing w:lineRule="exact" w:line="103"/>
        <w:rPr>
          <w:rFonts w:ascii="Times New Roman" w:hAnsi="Times New Roman" w:eastAsia="Times New Roman" w:cs="Times New Roman"/>
          <w:sz w:val="96"/>
          <w:szCs w:val="96"/>
        </w:rPr>
      </w:pPr>
      <w:r>
        <w:rPr>
          <w:rFonts w:eastAsia="Times New Roman" w:cs="Times New Roman" w:hint="eastAsia"/>
          <w:sz w:val="96"/>
          <w:szCs w:val="96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Technical Data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exact" w:line="213"/>
        <w:rPr>
          <w:rFonts w:ascii="Times New Roman" w:hAnsi="Times New Roman" w:eastAsia="Times New Roman" w:cs="Times New Roman"/>
          <w:sz w:val="144"/>
          <w:szCs w:val="72"/>
        </w:rPr>
      </w:pPr>
      <w:r>
        <w:rPr>
          <w:rFonts w:eastAsia="Times New Roman" w:cs="Times New Roman"/>
          <w:b/>
          <w:sz w:val="144"/>
          <w:szCs w:val="72"/>
        </w:rPr>
      </w:r>
    </w:p>
    <w:tbl>
      <w:tblPr>
        <w:tblW w:w="4400" w:type="pct"/>
        <w:jc w:val="start"/>
        <w:tblInd w:w="47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766"/>
        <w:gridCol w:w="1842"/>
        <w:gridCol w:w="1174"/>
        <w:gridCol w:w="2706"/>
      </w:tblGrid>
      <w:tr>
        <w:trPr>
          <w:trHeight w:val="274" w:hRule="atLeast"/>
        </w:trPr>
        <w:tc>
          <w:tcPr>
            <w:tcW w:w="2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 w:hint="eastAsia"/>
                <w:b/>
                <w:bCs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Specification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Unit</w:t>
            </w:r>
          </w:p>
        </w:tc>
        <w:tc>
          <w:tcPr>
            <w:tcW w:w="27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Test Method</w:t>
            </w:r>
          </w:p>
        </w:tc>
      </w:tr>
      <w:tr>
        <w:trPr>
          <w:trHeight w:val="428" w:hRule="atLeast"/>
        </w:trPr>
        <w:tc>
          <w:tcPr>
            <w:tcW w:w="2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Emulsion Appearance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乳白色液体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Times New Roman" w:hint="eastAsia"/>
                <w:b w:val="false"/>
                <w:bCs w:val="false"/>
                <w:sz w:val="24"/>
              </w:rPr>
            </w:r>
          </w:p>
        </w:tc>
        <w:tc>
          <w:tcPr>
            <w:tcW w:w="27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目测</w:t>
            </w:r>
          </w:p>
        </w:tc>
      </w:tr>
      <w:tr>
        <w:trPr>
          <w:trHeight w:val="390" w:hRule="atLeast"/>
        </w:trPr>
        <w:tc>
          <w:tcPr>
            <w:tcW w:w="2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Epoxy Equivalent Weight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900-1100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g/mol</w:t>
            </w:r>
          </w:p>
        </w:tc>
        <w:tc>
          <w:tcPr>
            <w:tcW w:w="27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Times New Roman" w:hint="eastAsia"/>
                <w:b w:val="false"/>
                <w:bCs w:val="false"/>
                <w:sz w:val="24"/>
              </w:rPr>
            </w:r>
          </w:p>
        </w:tc>
      </w:tr>
      <w:tr>
        <w:trPr>
          <w:trHeight w:val="390" w:hRule="atLeast"/>
        </w:trPr>
        <w:tc>
          <w:tcPr>
            <w:tcW w:w="2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Solids Content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53±2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/>
                <w:b w:val="false"/>
                <w:bCs w:val="false"/>
                <w:color w:val="000000"/>
                <w:kern w:val="0"/>
                <w:sz w:val="24"/>
                <w:szCs w:val="24"/>
              </w:rPr>
              <w:t>%</w:t>
            </w:r>
          </w:p>
        </w:tc>
        <w:tc>
          <w:tcPr>
            <w:tcW w:w="27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150℃30min</w:t>
            </w: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，鼓风烘箱</w:t>
            </w:r>
          </w:p>
        </w:tc>
      </w:tr>
      <w:tr>
        <w:trPr>
          <w:trHeight w:val="390" w:hRule="atLeast"/>
        </w:trPr>
        <w:tc>
          <w:tcPr>
            <w:tcW w:w="2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pH Value (25°C)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6.0-8.0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 w:ascii="宋体" w:hAnsi="宋体"/>
                <w:b w:val="false"/>
                <w:bCs w:val="false"/>
                <w:sz w:val="24"/>
              </w:rPr>
            </w:r>
          </w:p>
        </w:tc>
        <w:tc>
          <w:tcPr>
            <w:tcW w:w="27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GB/T 6920-1986</w:t>
            </w:r>
          </w:p>
        </w:tc>
      </w:tr>
      <w:tr>
        <w:trPr>
          <w:trHeight w:val="390" w:hRule="atLeast"/>
        </w:trPr>
        <w:tc>
          <w:tcPr>
            <w:tcW w:w="2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Viscosity (25°C)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200-5000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mPa·s</w:t>
            </w:r>
          </w:p>
        </w:tc>
        <w:tc>
          <w:tcPr>
            <w:tcW w:w="27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GB/T 2794-2013</w:t>
            </w:r>
          </w:p>
        </w:tc>
      </w:tr>
    </w:tbl>
    <w:p>
      <w:pPr>
        <w:pStyle w:val="Normal"/>
        <w:spacing w:lineRule="exact" w:line="207"/>
        <w:rPr>
          <w:rFonts w:ascii="Times New Roman" w:hAnsi="Times New Roman" w:eastAsia="宋体" w:cs="Times New Roman" w:hint="eastAsia"/>
          <w:sz w:val="16"/>
          <w:szCs w:val="11"/>
        </w:rPr>
      </w:pPr>
      <w:r>
        <w:rPr>
          <w:rFonts w:eastAsia="宋体" w:cs="Times New Roman" w:hint="eastAsia"/>
          <w:sz w:val="16"/>
          <w:szCs w:val="11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Product features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840" w:leader="none"/>
        </w:tabs>
        <w:spacing w:lineRule="atLeast" w:line="0"/>
        <w:ind w:hanging="366" w:start="84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自乳化固体环氧，储存稳定性佳，储存过程粘度稳定；</w:t>
      </w:r>
    </w:p>
    <w:p>
      <w:pPr>
        <w:pStyle w:val="Normal"/>
        <w:spacing w:lineRule="exact" w:line="98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840" w:leader="none"/>
        </w:tabs>
        <w:spacing w:lineRule="atLeast" w:line="0"/>
        <w:ind w:hanging="366" w:start="84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对配方设计的容忍度高，可直接用于色浆研磨。</w:t>
      </w:r>
    </w:p>
    <w:p>
      <w:pPr>
        <w:pStyle w:val="Normal"/>
        <w:spacing w:lineRule="exact" w:line="207"/>
        <w:rPr>
          <w:rFonts w:ascii="Times New Roman" w:hAnsi="Times New Roman" w:eastAsia="Times New Roman" w:cs="Times New Roman"/>
          <w:sz w:val="11"/>
          <w:szCs w:val="6"/>
        </w:rPr>
      </w:pPr>
      <w:r>
        <w:rPr>
          <w:rFonts w:eastAsia="Times New Roman" w:cs="Times New Roman"/>
          <w:sz w:val="11"/>
          <w:szCs w:val="6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Application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tLeast" w:line="0"/>
        <w:ind w:firstLineChars="200" w:startChars="0" w:start="0" w:endChars="0" w:end="0"/>
        <w:rPr>
          <w:rFonts w:ascii="宋体" w:hAnsi="宋体" w:cs="宋体"/>
          <w:sz w:val="24"/>
        </w:rPr>
      </w:pPr>
      <w:r>
        <w:rPr>
          <w:rFonts w:eastAsia="宋体" w:cs="Times New Roman" w:hint="eastAsia" w:ascii="宋体" w:hAnsi="宋体"/>
          <w:sz w:val="24"/>
        </w:rPr>
        <w:t>EP-1704</w:t>
      </w:r>
      <w:r>
        <w:rPr>
          <w:rFonts w:ascii="宋体" w:hAnsi="宋体" w:cs="Times New Roman" w:hint="eastAsia"/>
          <w:sz w:val="24"/>
        </w:rPr>
        <w:t>对多数金属底材都具备优异的附着力，适合制备防锈底漆与防护涂料；为获得更出色的防腐效果，一般建议固化剂添加量为化学理论计算量的</w:t>
      </w:r>
      <w:r>
        <w:rPr>
          <w:rFonts w:eastAsia="宋体" w:cs="Times New Roman" w:hint="eastAsia" w:ascii="宋体" w:hAnsi="宋体"/>
          <w:sz w:val="24"/>
        </w:rPr>
        <w:t>85±5%</w:t>
      </w:r>
      <w:r>
        <w:rPr>
          <w:rFonts w:ascii="宋体" w:hAnsi="宋体" w:cs="Times New Roman" w:hint="eastAsia"/>
          <w:sz w:val="24"/>
        </w:rPr>
        <w:t>。</w:t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Storage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Times New Roman" w:hAnsi="Times New Roman" w:eastAsia="宋体" w:cs="Times New Roman"/>
          <w:sz w:val="24"/>
        </w:rPr>
      </w:pPr>
      <w:r>
        <w:rPr>
          <w:rFonts w:eastAsia="宋体" w:cs="Times New Roman" w:hint="eastAsia"/>
          <w:sz w:val="24"/>
        </w:rPr>
        <w:t>EP-1704</w:t>
      </w:r>
      <w:r>
        <w:rPr>
          <w:rFonts w:ascii="Times New Roman" w:hAnsi="Times New Roman" w:cs="Times New Roman"/>
          <w:sz w:val="24"/>
        </w:rPr>
        <w:t>水性</w:t>
      </w:r>
      <w:r>
        <w:rPr>
          <w:rFonts w:ascii="Times New Roman" w:hAnsi="Times New Roman" w:cs="Times New Roman" w:hint="eastAsia"/>
          <w:sz w:val="24"/>
        </w:rPr>
        <w:t>环氧分散体</w:t>
      </w:r>
      <w:r>
        <w:rPr>
          <w:rFonts w:ascii="Times New Roman" w:hAnsi="Times New Roman" w:cs="Times New Roman"/>
          <w:sz w:val="24"/>
        </w:rPr>
        <w:t>须</w:t>
      </w:r>
      <w:r>
        <w:rPr>
          <w:rFonts w:ascii="Times New Roman" w:hAnsi="Times New Roman" w:cs="Times New Roman" w:hint="eastAsia"/>
          <w:sz w:val="24"/>
        </w:rPr>
        <w:t>密封保存</w:t>
      </w:r>
      <w:r>
        <w:rPr>
          <w:rFonts w:ascii="Times New Roman" w:hAnsi="Times New Roman" w:cs="Times New Roman"/>
          <w:sz w:val="24"/>
        </w:rPr>
        <w:t>。建议储存在</w:t>
      </w:r>
      <w:r>
        <w:rPr>
          <w:rFonts w:eastAsia="宋体" w:cs="Times New Roman"/>
          <w:sz w:val="24"/>
        </w:rPr>
        <w:t>5-</w:t>
      </w:r>
      <w:r>
        <w:rPr>
          <w:rFonts w:eastAsia="宋体" w:cs="Times New Roman" w:hint="eastAsia"/>
          <w:sz w:val="24"/>
        </w:rPr>
        <w:t>35</w:t>
      </w:r>
      <w:r>
        <w:rPr>
          <w:rFonts w:ascii="Times New Roman" w:hAnsi="Times New Roman" w:cs="Times New Roman" w:hint="eastAsia"/>
          <w:sz w:val="24"/>
        </w:rPr>
        <w:t>摄氏</w:t>
      </w:r>
      <w:r>
        <w:rPr>
          <w:rFonts w:ascii="Times New Roman" w:hAnsi="Times New Roman" w:cs="Times New Roman"/>
          <w:sz w:val="24"/>
        </w:rPr>
        <w:t>度条件下储存，</w:t>
      </w:r>
      <w:r>
        <w:rPr>
          <w:rFonts w:ascii="Times New Roman" w:hAnsi="Times New Roman" w:cs="Times New Roman" w:hint="eastAsia"/>
          <w:sz w:val="24"/>
        </w:rPr>
        <w:t>严禁</w:t>
      </w:r>
      <w:r>
        <w:rPr>
          <w:rFonts w:ascii="Times New Roman" w:hAnsi="Times New Roman" w:cs="Times New Roman"/>
          <w:sz w:val="24"/>
        </w:rPr>
        <w:t>冰冻。</w:t>
      </w:r>
      <w:r>
        <w:rPr>
          <w:rFonts w:ascii="Times New Roman" w:hAnsi="Times New Roman" w:cs="Times New Roman" w:hint="eastAsia"/>
          <w:sz w:val="24"/>
        </w:rPr>
        <w:t>勿与油漆类相混。本产品自发货之日起保质期为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个月，但不代表超过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个月无法使用，建议使用前进行产品性能评估，以确保使用安全。</w:t>
      </w:r>
    </w:p>
    <w:p>
      <w:pPr>
        <w:pStyle w:val="Normal"/>
        <w:spacing w:lineRule="atLeast" w:line="0"/>
        <w:ind w:start="480" w:end="0"/>
        <w:rPr>
          <w:rFonts w:ascii="宋体" w:hAnsi="宋体" w:cs="宋体"/>
          <w:sz w:val="24"/>
        </w:rPr>
      </w:pPr>
      <w:r>
        <w:rPr>
          <w:rFonts w:eastAsia="宋体" w:cs="宋体" w:ascii="宋体" w:hAnsi="宋体"/>
          <w:sz w:val="24"/>
        </w:rPr>
      </w:r>
    </w:p>
    <w:p>
      <w:pPr>
        <w:pStyle w:val="Normal"/>
        <w:spacing w:lineRule="atLeast" w:line="0"/>
        <w:ind w:start="480" w:end="0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</w:r>
    </w:p>
    <w:sectPr>
      <w:type w:val="nextPage"/>
      <w:pgSz w:w="11906" w:h="16838"/>
      <w:pgMar w:left="1140" w:right="1120" w:gutter="0" w:header="0" w:top="85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Courier New">
    <w:charset w:val="01"/>
    <w:family w:val="modern"/>
    <w:pitch w:val="default"/>
  </w:font>
  <w:font w:name="Liberation Sans">
    <w:altName w:val="Arial"/>
    <w:charset w:val="01"/>
    <w:family w:val="swiss"/>
    <w:pitch w:val="variable"/>
  </w:font>
  <w:font w:name="微软雅黑">
    <w:charset w:val="86"/>
    <w:family w:val="swiss"/>
    <w:pitch w:val="default"/>
  </w:font>
  <w:font w:name="宋体">
    <w:charset w:val="86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3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4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5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6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7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8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doNotExpandShiftReturn/>
    <w:compatSetting w:name="compatibilityMode" w:uri="http://schemas.microsoft.com/office/word" w:val="11"/>
  </w:compat>
  <w:docVars>
    <w:docVar w:name="commondata" w:val="eyJoZGlkIjoiYWFmODNlYzJiYzNlNTJmMjNkNTYyNzI0OTNkNjNjYzUifQ=="/>
    <w:docVar w:name="KSO_WPS_MARK_KEY" w:val="2c3153f3-9f71-4ab4-9e23-6c8d3c59662f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宋体" w:cs="Times New Roman"/>
      <w:color w:val="auto"/>
      <w:sz w:val="20"/>
      <w:szCs w:val="20"/>
      <w:lang w:bidi="ar-SA" w:val="en-US" w:eastAsia="zh-CN"/>
    </w:rPr>
  </w:style>
  <w:style w:type="character" w:styleId="Style14">
    <w:name w:val="默认段落字体"/>
    <w:rPr/>
  </w:style>
  <w:style w:type="character" w:styleId="Style15">
    <w:name w:val="页脚 字符"/>
    <w:rPr>
      <w:sz w:val="18"/>
      <w:szCs w:val="18"/>
    </w:rPr>
  </w:style>
  <w:style w:type="character" w:styleId="Style16">
    <w:name w:val="页眉 字符"/>
    <w:rPr>
      <w:sz w:val="18"/>
      <w:szCs w:val="18"/>
    </w:rPr>
  </w:style>
  <w:style w:type="character" w:styleId="HTML">
    <w:name w:val="HTML 代码"/>
    <w:basedOn w:val="Style14"/>
    <w:rPr>
      <w:rFonts w:ascii="Courier New" w:hAnsi="Courier New" w:cs="Courier New"/>
      <w:sz w:val="20"/>
    </w:rPr>
  </w:style>
  <w:style w:type="paragraph" w:styleId="Style17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索引"/>
    <w:basedOn w:val="Normal"/>
    <w:pPr>
      <w:suppressLineNumbers/>
    </w:pPr>
    <w:rPr>
      <w:rFonts w:cs="Arial"/>
    </w:rPr>
  </w:style>
  <w:style w:type="paragraph" w:styleId="Style19">
    <w:name w:val="页眉与页脚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20">
    <w:name w:val="列表段落"/>
    <w:basedOn w:val="Normal"/>
    <w:pPr>
      <w:ind w:firstLineChars="200" w:startChars="0" w:start="0" w:endChars="0" w:end="0"/>
    </w:pPr>
    <w:rPr/>
  </w:style>
  <w:style w:type="paragraph" w:styleId="Style21">
    <w:name w:val="表格内容"/>
    <w:basedOn w:val="Normal"/>
    <w:pPr>
      <w:widowControl w:val="false"/>
      <w:suppressLineNumbers/>
    </w:pPr>
    <w:rPr/>
  </w:style>
  <w:style w:type="paragraph" w:styleId="Style22">
    <w:name w:val="表格标题"/>
    <w:basedOn w:val="Style21"/>
    <w:pPr>
      <w:suppressLineNumbers/>
      <w:jc w:val="center"/>
    </w:pPr>
    <w:rPr>
      <w:b/>
      <w:bCs/>
    </w:rPr>
  </w:style>
  <w:style w:type="numbering" w:styleId="WW8Num1">
    <w:name w:val="WW8Num1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10080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2021-08-28T10:35:00Z</dcterms:created>
  <dc:creator>雨林永存</dc:creator>
  <dc:description/>
  <dc:language>zh-CN</dc:language>
  <cp:lastModifiedBy>陈子钦</cp:lastModifiedBy>
  <cp:lastPrinted>2022-04-01T10:10:00Z</cp:lastPrinted>
  <dcterms:modified xsi:type="dcterms:W3CDTF">2026-09-04T13:57:43Z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1495CC035AC1451997E4FF11078063A1_13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