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微软雅黑" w:hAnsi="微软雅黑" w:eastAsia="微软雅黑" w:cs="微软雅黑"/>
          <w:b/>
          <w:sz w:val="24"/>
          <w:szCs w:val="24"/>
        </w:rPr>
      </w:pPr>
      <w:r>
        <w:rPr/>
        <w:t xml:space="preserve"> </w:t>
      </w:r>
      <w:r>
        <w:rPr>
          <w:rFonts w:eastAsia="微软雅黑" w:cs="微软雅黑" w:ascii="微软雅黑" w:hAnsi="微软雅黑"/>
          <w:b/>
          <w:sz w:val="24"/>
          <w:szCs w:val="24"/>
        </w:rPr>
        <w:t>Yingde Guocai Fine Chemical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Limited Company</w:t>
      </w:r>
    </w:p>
    <w:p>
      <w:pPr>
        <w:pStyle w:val="Normal"/>
        <w:spacing w:lineRule="exact" w:line="43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Tel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86-763-2811205</w:t>
      </w:r>
      <w:r>
        <w:rPr>
          <w:rFonts w:eastAsia="微软雅黑" w:cs="微软雅黑" w:ascii="微软雅黑" w:hAnsi="微软雅黑"/>
        </w:rPr>
        <w:tab/>
      </w:r>
      <w:r>
        <w:rPr>
          <w:rFonts w:eastAsia="微软雅黑" w:cs="微软雅黑" w:hint="eastAsia" w:ascii="微软雅黑" w:hAnsi="微软雅黑"/>
          <w:sz w:val="18"/>
        </w:rPr>
        <w:t>Fax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86-763-2811024</w:t>
      </w:r>
    </w:p>
    <w:p>
      <w:pPr>
        <w:pStyle w:val="Normal"/>
        <w:spacing w:lineRule="exact" w:line="14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sz w:val="24"/>
        </w:rPr>
      </w:r>
    </w:p>
    <w:p>
      <w:pPr>
        <w:pStyle w:val="Normal"/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Address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Kaidi Industrial Park, genggukeng, Taiping Village, Baisha Town, Yingde City, Guangdong Province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Times New Roman" w:hAnsi="Times New Roman" w:eastAsia="等线" w:cs="Times New Roman" w:hint="eastAsia"/>
          <w:sz w:val="24"/>
        </w:rPr>
      </w:pPr>
      <w:r>
        <w:rPr>
          <w:rFonts w:eastAsia="等线" w:cs="Times New Roman" w:hint="eastAsia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5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93"/>
        <w:gridCol w:w="1910"/>
        <w:gridCol w:w="1094"/>
        <w:gridCol w:w="2587"/>
      </w:tblGrid>
      <w:tr>
        <w:trPr>
          <w:trHeight w:val="274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uto" w:line="324"/>
        <w:ind w:firstLine="480" w:end="0"/>
        <w:rPr>
          <w:rFonts w:ascii="Times New Roman" w:hAnsi="Times New Roman" w:cs="Times New Roman" w:hint="eastAsia"/>
          <w:sz w:val="24"/>
        </w:rPr>
      </w:pPr>
      <w:r>
        <w:rPr>
          <w:rFonts w:eastAsia="宋体" w:cs="Times New Roman" w:hint="eastAsia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zcwMjQ2Y2VjOWFhZTAwOTVmM2FmNjdjM2EzMTA0M2E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spacing w:before="100" w:after="100"/>
      <w:jc w:val="start"/>
      <w:outlineLvl w:val="2"/>
    </w:pPr>
    <w:rPr>
      <w:rFonts w:ascii="宋体" w:hAnsi="宋体" w:eastAsia="宋体" w:cs="宋体" w:hint="eastAsia"/>
      <w:b/>
      <w:bCs/>
      <w:kern w:val="0"/>
      <w:sz w:val="27"/>
      <w:szCs w:val="27"/>
      <w:lang w:bidi="ar"/>
    </w:rPr>
  </w:style>
  <w:style w:type="character" w:styleId="Style13">
    <w:name w:val="默认段落字体"/>
    <w:rPr/>
  </w:style>
  <w:style w:type="character" w:styleId="Style14">
    <w:name w:val="页脚 字符"/>
    <w:rPr>
      <w:sz w:val="18"/>
      <w:szCs w:val="18"/>
    </w:rPr>
  </w:style>
  <w:style w:type="character" w:styleId="Style15">
    <w:name w:val="页眉 字符"/>
    <w:rPr>
      <w:sz w:val="18"/>
      <w:szCs w:val="18"/>
    </w:rPr>
  </w:style>
  <w:style w:type="paragraph" w:styleId="Style1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pPr>
      <w:suppressLineNumbers/>
    </w:pPr>
    <w:rPr>
      <w:rFonts w:cs="Arial"/>
    </w:rPr>
  </w:style>
  <w:style w:type="paragraph" w:styleId="Style18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列表段落"/>
    <w:basedOn w:val="Normal"/>
    <w:pPr>
      <w:ind w:firstLineChars="200" w:startChars="0" w:start="0" w:endChars="0" w:end="0"/>
    </w:pPr>
    <w:rPr/>
  </w:style>
  <w:style w:type="paragraph" w:styleId="Style20">
    <w:name w:val="表格内容"/>
    <w:basedOn w:val="Normal"/>
    <w:pPr>
      <w:widowControl w:val="false"/>
      <w:suppressLineNumbers/>
    </w:pPr>
    <w:rPr/>
  </w:style>
  <w:style w:type="paragraph" w:styleId="Style21">
    <w:name w:val="表格标题"/>
    <w:basedOn w:val="Style20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2020-08-01T10:55:00Z</cp:lastPrinted>
  <dcterms:modified xsi:type="dcterms:W3CDTF">2026-09-04T13:52:21Z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FE75891208E7482389BBC9DA8C01D3AD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