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4B6282">
      <w:pPr>
        <w:spacing w:line="0" w:lineRule="atLeast"/>
        <w:ind w:left="1360" w:right="0"/>
        <w:rPr>
          <w:rFonts w:ascii="宋体" w:hAnsi="宋体" w:cs="宋体"/>
          <w:b/>
          <w:sz w:val="28"/>
        </w:rPr>
      </w:pPr>
      <w:bookmarkStart w:id="0" w:name="page1"/>
      <w:bookmarkEnd w:id="0"/>
      <w:r>
        <w:rPr>
          <w:rFonts w:ascii="宋体" w:hAnsi="宋体" w:cs="宋体"/>
          <w:b/>
          <w:sz w:val="28"/>
        </w:rPr>
        <w:t>广州冠志新材料科技有限公司</w:t>
      </w:r>
    </w:p>
    <w:p w14:paraId="15F47995">
      <w:pPr>
        <w:spacing w:line="43" w:lineRule="exact"/>
        <w:rPr>
          <w:rFonts w:ascii="Times New Roman" w:hAnsi="Times New Roman" w:eastAsia="Times New Roman" w:cs="Times New Roman"/>
          <w:sz w:val="24"/>
        </w:rPr>
      </w:pPr>
    </w:p>
    <w:p w14:paraId="46CE7D0D">
      <w:pPr>
        <w:tabs>
          <w:tab w:val="left" w:pos="3360"/>
        </w:tabs>
        <w:spacing w:line="0" w:lineRule="atLeast"/>
        <w:ind w:left="1340" w:right="0"/>
        <w:rPr>
          <w:rFonts w:ascii="Times New Roman" w:hAnsi="Times New Roman" w:eastAsia="Times New Roman" w:cs="Times New Roman"/>
          <w:sz w:val="18"/>
        </w:rPr>
      </w:pPr>
      <w:r>
        <w:rPr>
          <w:rFonts w:ascii="宋体" w:hAnsi="宋体" w:cs="宋体"/>
          <w:sz w:val="18"/>
        </w:rPr>
        <w:t>电话：</w:t>
      </w:r>
      <w:r>
        <w:rPr>
          <w:rFonts w:eastAsia="Times New Roman" w:cs="Times New Roman"/>
          <w:sz w:val="18"/>
        </w:rPr>
        <w:t>020-82567990</w:t>
      </w:r>
      <w:r>
        <w:rPr>
          <w:rFonts w:eastAsia="Times New Roman" w:cs="Times New Roman"/>
        </w:rPr>
        <w:tab/>
      </w:r>
      <w:r>
        <w:rPr>
          <w:rFonts w:ascii="宋体" w:hAnsi="宋体" w:cs="宋体"/>
          <w:sz w:val="18"/>
        </w:rPr>
        <w:t>传真：</w:t>
      </w:r>
      <w:r>
        <w:rPr>
          <w:rFonts w:eastAsia="Times New Roman" w:cs="Times New Roman"/>
          <w:sz w:val="18"/>
        </w:rPr>
        <w:t>020-32214789</w:t>
      </w:r>
    </w:p>
    <w:p w14:paraId="42676E09">
      <w:pPr>
        <w:spacing w:line="14" w:lineRule="exact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  <w:drawing>
          <wp:anchor distT="0" distB="0" distL="114935" distR="114935" simplePos="0" relativeHeight="251659264" behindDoc="0" locked="0" layoutInCell="0" allowOverlap="1">
            <wp:simplePos x="0" y="0"/>
            <wp:positionH relativeFrom="column">
              <wp:posOffset>-48895</wp:posOffset>
            </wp:positionH>
            <wp:positionV relativeFrom="paragraph">
              <wp:posOffset>-396875</wp:posOffset>
            </wp:positionV>
            <wp:extent cx="857250" cy="533400"/>
            <wp:effectExtent l="0" t="0" r="0" b="0"/>
            <wp:wrapSquare wrapText="bothSides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42" t="-68" r="-42" b="-68"/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D720AFB">
      <w:pPr>
        <w:spacing w:line="0" w:lineRule="atLeast"/>
        <w:ind w:left="1340" w:right="0"/>
        <w:rPr>
          <w:rFonts w:ascii="宋体" w:hAnsi="宋体" w:cs="宋体"/>
          <w:sz w:val="18"/>
        </w:rPr>
      </w:pPr>
      <w:r>
        <w:rPr>
          <w:rFonts w:ascii="宋体" w:hAnsi="宋体" w:cs="宋体"/>
          <w:sz w:val="18"/>
        </w:rPr>
        <w:t xml:space="preserve">地址：广州市黄埔区科学城掬泉路 </w:t>
      </w:r>
      <w:r>
        <w:rPr>
          <w:rFonts w:eastAsia="Times New Roman" w:cs="Times New Roman"/>
          <w:sz w:val="18"/>
        </w:rPr>
        <w:t>3</w:t>
      </w:r>
      <w:r>
        <w:rPr>
          <w:rFonts w:ascii="宋体" w:hAnsi="宋体" w:cs="宋体"/>
          <w:sz w:val="18"/>
        </w:rPr>
        <w:t xml:space="preserve"> 号广州国际企业孵化器 </w:t>
      </w:r>
      <w:r>
        <w:rPr>
          <w:rFonts w:eastAsia="Times New Roman" w:cs="Times New Roman"/>
          <w:sz w:val="18"/>
        </w:rPr>
        <w:t>A</w:t>
      </w:r>
      <w:r>
        <w:rPr>
          <w:rFonts w:ascii="宋体" w:hAnsi="宋体" w:cs="宋体"/>
          <w:sz w:val="18"/>
        </w:rPr>
        <w:t xml:space="preserve"> 区 </w:t>
      </w:r>
      <w:r>
        <w:rPr>
          <w:rFonts w:eastAsia="Times New Roman" w:cs="Times New Roman"/>
          <w:sz w:val="18"/>
        </w:rPr>
        <w:t>1106</w:t>
      </w:r>
      <w:r>
        <w:rPr>
          <w:rFonts w:ascii="宋体" w:hAnsi="宋体" w:cs="宋体"/>
          <w:sz w:val="18"/>
        </w:rPr>
        <w:t xml:space="preserve"> 室</w:t>
      </w:r>
    </w:p>
    <w:p w14:paraId="31226EEB">
      <w:pPr>
        <w:spacing w:line="200" w:lineRule="exact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  <mc:AlternateContent>
          <mc:Choice Requires="wps">
            <w:drawing>
              <wp:anchor distT="0" distB="0" distL="114935" distR="114935" simplePos="0" relativeHeight="251659264" behindDoc="1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166370</wp:posOffset>
                </wp:positionV>
                <wp:extent cx="6157595" cy="0"/>
                <wp:effectExtent l="0" t="4445" r="0" b="4445"/>
                <wp:wrapNone/>
                <wp:docPr id="2" name="直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57440" cy="0"/>
                        </a:xfrm>
                        <a:prstGeom prst="line">
                          <a:avLst/>
                        </a:prstGeom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线 4" o:spid="_x0000_s1026" o:spt="20" style="position:absolute;left:0pt;margin-left:-1.75pt;margin-top:13.1pt;height:0pt;width:484.85pt;z-index:-251657216;mso-width-relative:page;mso-height-relative:page;" filled="f" stroked="t" coordsize="21600,21600" o:gfxdata="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DP&#10;B8tt2AAAAAgBAAAPAAAAAAAAAAEAIAAAACIAAABkcnMvZG93bnJldi54bWxQSwECFAAUAAAACACH&#10;TuJALEvzurIBAABhAwAADgAAAAAAAAABACAAAAAnAQAAZHJzL2Uyb0RvYy54bWxQSwUGAAAAAAYA&#10;BgBZAQAASwUAAAAA&#10;">
                <v:fill on="f" focussize="0,0"/>
                <v:stroke weight="0.708661417322835pt" color="#000000" joinstyle="miter"/>
                <v:imagedata o:title=""/>
                <o:lock v:ext="edit" aspectratio="f"/>
              </v:line>
            </w:pict>
          </mc:Fallback>
        </mc:AlternateContent>
      </w:r>
    </w:p>
    <w:p w14:paraId="41D3552B">
      <w:pPr>
        <w:spacing w:line="0" w:lineRule="atLeast"/>
        <w:rPr>
          <w:rFonts w:ascii="Times New Roman" w:hAnsi="Times New Roman" w:cs="Times New Roman"/>
          <w:sz w:val="24"/>
        </w:rPr>
      </w:pPr>
    </w:p>
    <w:p w14:paraId="0DFCFE0C">
      <w:pPr>
        <w:spacing w:line="0" w:lineRule="atLeast"/>
        <w:jc w:val="center"/>
        <w:ind w:right="0"/>
        <w:rPr>
          <w:rFonts w:hint="eastAsia" w:ascii="Times New Roman" w:hAnsi="Times New Roman" w:cs="Times New Roman"/>
          <w:b/>
          <w:sz w:val="32"/>
        </w:rPr>
      </w:pPr>
      <w:r>
        <w:rPr>
          <w:rFonts w:hint="eastAsia" w:ascii="Times New Roman" w:hAnsi="Times New Roman" w:cs="Times New Roman"/>
          <w:b/>
          <w:sz w:val="32"/>
        </w:rPr>
        <w:t>脂肪族接着聚氨酯树脂 PU-1001</w:t>
      </w:r>
    </w:p>
    <w:p w14:paraId="64D14D94">
      <w:pPr>
        <w:spacing w:line="269" w:lineRule="exact"/>
        <w:rPr>
          <w:rFonts w:ascii="Times New Roman" w:hAnsi="Times New Roman" w:eastAsia="Times New Roman" w:cs="Times New Roman"/>
          <w:sz w:val="24"/>
        </w:rPr>
      </w:pPr>
    </w:p>
    <w:p w14:paraId="06EA2722">
      <w:pPr>
        <w:spacing w:line="0" w:lineRule="atLeast" w:before="100" w:after="8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【产品描述】</w:t>
      </w:r>
    </w:p>
    <w:p w14:paraId="3A8D3C08">
      <w:pPr>
        <w:spacing w:line="0" w:lineRule="atLeast"/>
        <w:rPr>
          <w:rFonts w:ascii="宋体" w:hAnsi="宋体" w:cs="宋体"/>
          <w:b/>
          <w:sz w:val="8"/>
          <w:szCs w:val="2"/>
        </w:rPr>
      </w:pPr>
    </w:p>
    <w:p w14:paraId="3B4545BF">
      <w:pPr>
        <w:spacing w:line="300" w:lineRule="auto" w:before="0" w:after="60"/>
        <w:ind w:left="0" w:leftChars="0" w:right="0" w:rightChars="0" w:firstLineChars="200"/>
        <w:rPr>
          <w:rFonts w:hint="eastAsia" w:ascii="宋体" w:hAnsi="宋体" w:cs="宋体"/>
          <w:sz w:val="6"/>
          <w:szCs w:val="6"/>
        </w:rPr>
      </w:pPr>
      <w:r>
        <w:rPr>
          <w:rFonts w:hint="eastAsia" w:ascii="宋体" w:hAnsi="宋体" w:cs="宋体"/>
          <w:sz w:val="24"/>
        </w:rPr>
        <w:t>PU-1001是一款脂肪族阴离子型的水性聚氨酯分散体，具有极强的粘着能力，用于提升涂层之间的附着力。</w:t>
      </w:r>
    </w:p>
    <w:p w14:paraId="291FBEA6">
      <w:pPr>
        <w:spacing w:line="0" w:lineRule="atLeast" w:before="160" w:after="8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【供应形式】</w:t>
      </w:r>
    </w:p>
    <w:p w14:paraId="266B6DFD">
      <w:pPr>
        <w:spacing w:line="0" w:lineRule="atLeast"/>
        <w:rPr>
          <w:rFonts w:ascii="宋体" w:hAnsi="宋体" w:cs="宋体"/>
          <w:b/>
          <w:sz w:val="13"/>
          <w:szCs w:val="6"/>
        </w:rPr>
      </w:pPr>
    </w:p>
    <w:p w14:paraId="18A9DB42">
      <w:pPr>
        <w:spacing w:line="300" w:lineRule="auto" w:before="0" w:after="60"/>
        <w:ind w:left="0" w:leftChars="0" w:right="0" w:rightChars="0" w:firstLineChars="200"/>
        <w:rPr>
          <w:rFonts w:hint="eastAsia" w:ascii="宋体" w:hAnsi="宋体" w:cs="宋体"/>
          <w:sz w:val="22"/>
          <w:szCs w:val="18"/>
        </w:rPr>
      </w:pPr>
      <w:r>
        <w:rPr>
          <w:rFonts w:ascii="宋体" w:hAnsi="宋体" w:cs="宋体"/>
          <w:sz w:val="24"/>
          <w:szCs w:val="24"/>
        </w:rPr>
        <w:t>约22%固含水分散体。</w:t>
      </w:r>
    </w:p>
    <w:p w14:paraId="04C171B2">
      <w:pPr>
        <w:spacing w:line="0" w:lineRule="atLeast" w:before="160" w:after="8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【性能指标】</w:t>
      </w:r>
    </w:p>
    <w:p w14:paraId="632EEE36">
      <w:pPr>
        <w:spacing w:line="213" w:lineRule="exact"/>
        <w:rPr>
          <w:rFonts w:ascii="Times New Roman" w:hAnsi="Times New Roman" w:eastAsia="Times New Roman" w:cs="Times New Roman"/>
          <w:sz w:val="144"/>
          <w:szCs w:val="72"/>
        </w:rPr>
      </w:pPr>
    </w:p>
    <w:tbl>
      <w:tblPr>
        <w:tblStyle w:val="7"/>
        <w:tblW w:w="4400" w:type="pct"/>
        <w:tblInd w:w="47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42"/>
        <w:gridCol w:w="2037"/>
        <w:gridCol w:w="1023"/>
        <w:gridCol w:w="3194"/>
      </w:tblGrid>
      <w:tr w14:paraId="4F4CFBC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A254CA1">
            <w:pPr>
              <w:spacing w:line="0" w:lineRule="atLeast"/>
              <w:jc w:val="center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项目</w:t>
            </w:r>
          </w:p>
        </w:tc>
        <w:tc>
          <w:tcPr>
            <w:tcW w:w="2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44A34B9">
            <w:pPr>
              <w:widowControl/>
              <w:spacing w:line="375" w:lineRule="atLeast"/>
              <w:jc w:val="center"/>
              <w:rPr>
                <w:rFonts w:cs="宋体"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指标</w:t>
            </w:r>
          </w:p>
        </w:tc>
        <w:tc>
          <w:tcPr>
            <w:tcW w:w="10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6509DD3">
            <w:pPr>
              <w:widowControl/>
              <w:spacing w:line="375" w:lineRule="atLeast"/>
              <w:jc w:val="center"/>
              <w:rPr>
                <w:rFonts w:hint="eastAsia" w:cs="宋体"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单位</w:t>
            </w:r>
          </w:p>
        </w:tc>
        <w:tc>
          <w:tcPr>
            <w:tcW w:w="3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A718D8D">
            <w:pPr>
              <w:widowControl/>
              <w:spacing w:line="375" w:lineRule="atLeast"/>
              <w:jc w:val="center"/>
              <w:rPr>
                <w:rFonts w:hint="eastAsia" w:cs="宋体"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测试方法</w:t>
            </w:r>
          </w:p>
        </w:tc>
      </w:tr>
      <w:tr w14:paraId="114C410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8" w:hRule="atLeast"/>
        </w:trPr>
        <w:tc>
          <w:tcPr>
            <w:tcW w:w="2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7A78ED6">
            <w:pPr>
              <w:widowControl/>
              <w:spacing w:line="375" w:lineRule="atLeast"/>
              <w:jc w:val="center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外观</w:t>
            </w:r>
          </w:p>
        </w:tc>
        <w:tc>
          <w:tcPr>
            <w:tcW w:w="2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CCDA25">
            <w:pPr>
              <w:widowControl/>
              <w:spacing w:line="375" w:lineRule="atLeast"/>
              <w:jc w:val="center"/>
              <w:rPr>
                <w:rFonts w:hint="eastAsia" w:ascii="Times New Roman" w:hAnsi="Times New Roman" w:cs="Times New Roman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蓝光半透明液体</w:t>
            </w:r>
          </w:p>
        </w:tc>
        <w:tc>
          <w:tcPr>
            <w:tcW w:w="10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21E500C">
            <w:pPr>
              <w:widowControl/>
              <w:snapToGrid w:val="0"/>
              <w:spacing w:line="375" w:lineRule="atLeast"/>
              <w:jc w:val="center"/>
              <w:rPr>
                <w:rFonts w:hint="eastAsia" w:ascii="Times New Roman" w:hAnsi="Times New Roman" w:cs="Times New Roman"/>
                <w:sz w:val="24"/>
              </w:rPr>
            </w:pPr>
          </w:p>
        </w:tc>
        <w:tc>
          <w:tcPr>
            <w:tcW w:w="3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E2D4A0A">
            <w:pPr>
              <w:widowControl/>
              <w:spacing w:line="375" w:lineRule="atLeast"/>
              <w:jc w:val="center"/>
              <w:rPr>
                <w:rFonts w:hint="eastAsia" w:ascii="Times New Roman" w:hAnsi="Times New Roman" w:cs="Times New Roman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目测</w:t>
            </w:r>
          </w:p>
        </w:tc>
      </w:tr>
      <w:tr w14:paraId="5E8C7C7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DDD285C">
            <w:pPr>
              <w:widowControl/>
              <w:spacing w:line="375" w:lineRule="atLeast"/>
              <w:jc w:val="center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固体份含量</w:t>
            </w:r>
          </w:p>
        </w:tc>
        <w:tc>
          <w:tcPr>
            <w:tcW w:w="2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8038C05">
            <w:pPr>
              <w:widowControl/>
              <w:spacing w:line="375" w:lineRule="atLeast"/>
              <w:jc w:val="center"/>
              <w:rPr>
                <w:rFonts w:hint="eastAsia" w:ascii="Times New Roman" w:hAnsi="Times New Roman" w:cs="Times New Roman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22±1</w:t>
            </w:r>
          </w:p>
        </w:tc>
        <w:tc>
          <w:tcPr>
            <w:tcW w:w="10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722623F">
            <w:pPr>
              <w:widowControl/>
              <w:spacing w:line="375" w:lineRule="atLeast"/>
              <w:jc w:val="center"/>
              <w:rPr>
                <w:rFonts w:hint="eastAsia" w:ascii="Times New Roman" w:hAnsi="Times New Roman" w:cs="Times New Roman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%</w:t>
            </w:r>
          </w:p>
        </w:tc>
        <w:tc>
          <w:tcPr>
            <w:tcW w:w="3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B936076">
            <w:pPr>
              <w:widowControl/>
              <w:snapToGrid w:val="0"/>
              <w:spacing w:line="375" w:lineRule="atLeast"/>
              <w:jc w:val="center"/>
              <w:rPr>
                <w:rFonts w:hint="eastAsia" w:ascii="Times New Roman" w:hAnsi="Times New Roman" w:cs="Times New Roman"/>
                <w:sz w:val="24"/>
              </w:rPr>
            </w:pPr>
            <w:r>
              <w:rPr>
                <w:rFonts w:hint="eastAsia" w:ascii="Times New Roman" w:hAnsi="Times New Roman" w:cs="Times New Roman"/>
                <w:sz w:val="24"/>
              </w:rPr>
              <w:t>150℃ 30min，鼓风烘箱</w:t>
            </w:r>
          </w:p>
        </w:tc>
      </w:tr>
      <w:tr w14:paraId="73DBB31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FE0EAAB">
            <w:pPr>
              <w:widowControl/>
              <w:spacing w:line="375" w:lineRule="atLeast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粘度(25℃)</w:t>
            </w:r>
          </w:p>
        </w:tc>
        <w:tc>
          <w:tcPr>
            <w:tcW w:w="2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BEB121B">
            <w:pPr>
              <w:widowControl/>
              <w:spacing w:line="375" w:lineRule="atLeast"/>
              <w:jc w:val="center"/>
              <w:rPr>
                <w:rFonts w:hint="eastAsia" w:ascii="Times New Roman" w:hAnsi="Times New Roman" w:cs="Times New Roman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＜500</w:t>
            </w:r>
          </w:p>
        </w:tc>
        <w:tc>
          <w:tcPr>
            <w:tcW w:w="10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F484321">
            <w:pPr>
              <w:widowControl/>
              <w:spacing w:line="375" w:lineRule="atLeast"/>
              <w:jc w:val="center"/>
              <w:rPr>
                <w:rFonts w:hint="eastAsia" w:ascii="Times New Roman" w:hAnsi="Times New Roman" w:cs="Times New Roman"/>
                <w:sz w:val="24"/>
              </w:rPr>
            </w:pPr>
            <w:r>
              <w:rPr>
                <w:rFonts w:cs="宋体"/>
                <w:color w:val="000000"/>
                <w:kern w:val="0"/>
                <w:sz w:val="24"/>
                <w:szCs w:val="24"/>
              </w:rPr>
              <w:t>mPa·S</w:t>
            </w:r>
          </w:p>
        </w:tc>
        <w:tc>
          <w:tcPr>
            <w:tcW w:w="3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11A59F">
            <w:pPr>
              <w:widowControl/>
              <w:spacing w:line="375" w:lineRule="atLeast"/>
              <w:jc w:val="center"/>
              <w:rPr>
                <w:rFonts w:hint="eastAsia" w:ascii="Times New Roman" w:hAnsi="Times New Roman" w:cs="Times New Roman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GB/T 2794-2022</w:t>
            </w:r>
          </w:p>
        </w:tc>
      </w:tr>
      <w:tr w14:paraId="24EB347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E8B9D28">
            <w:pPr>
              <w:widowControl/>
              <w:spacing w:line="375" w:lineRule="atLeast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PH值（1:10稀释在水中）</w:t>
            </w:r>
          </w:p>
        </w:tc>
        <w:tc>
          <w:tcPr>
            <w:tcW w:w="2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22D3055">
            <w:pPr>
              <w:widowControl/>
              <w:spacing w:line="375" w:lineRule="atLeast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7.0-9.0</w:t>
            </w:r>
          </w:p>
        </w:tc>
        <w:tc>
          <w:tcPr>
            <w:tcW w:w="10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9D85078">
            <w:pPr>
              <w:widowControl/>
              <w:snapToGrid w:val="0"/>
              <w:spacing w:line="375" w:lineRule="atLeast"/>
              <w:jc w:val="center"/>
              <w:rPr>
                <w:rFonts w:hint="eastAsia" w:ascii="宋体" w:hAnsi="宋体" w:cs="宋体"/>
                <w:sz w:val="24"/>
              </w:rPr>
            </w:pPr>
          </w:p>
        </w:tc>
        <w:tc>
          <w:tcPr>
            <w:tcW w:w="3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8F8C8AB">
            <w:pPr>
              <w:widowControl/>
              <w:spacing w:line="375" w:lineRule="atLeast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GB 6920-86</w:t>
            </w:r>
          </w:p>
        </w:tc>
      </w:tr>
      <w:tr w14:paraId="79182BB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4D35677">
            <w:pPr>
              <w:widowControl/>
              <w:spacing w:line="375" w:lineRule="atLeast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密度(25℃)</w:t>
            </w:r>
          </w:p>
        </w:tc>
        <w:tc>
          <w:tcPr>
            <w:tcW w:w="2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1BBEB5D">
            <w:pPr>
              <w:widowControl/>
              <w:spacing w:line="375" w:lineRule="atLeast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约1.06</w:t>
            </w:r>
          </w:p>
        </w:tc>
        <w:tc>
          <w:tcPr>
            <w:tcW w:w="10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62AF3E8">
            <w:pPr>
              <w:widowControl/>
              <w:spacing w:line="375" w:lineRule="atLeast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g/cm3</w:t>
            </w:r>
          </w:p>
        </w:tc>
        <w:tc>
          <w:tcPr>
            <w:tcW w:w="3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CC8D60B">
            <w:pPr>
              <w:widowControl/>
              <w:spacing w:line="375" w:lineRule="atLeast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cs="宋体"/>
                <w:color w:val="000000"/>
                <w:kern w:val="0"/>
                <w:sz w:val="24"/>
                <w:szCs w:val="24"/>
              </w:rPr>
              <w:t>GB/T 4472-2011</w:t>
            </w:r>
          </w:p>
        </w:tc>
      </w:tr>
    </w:tbl>
    <w:p w14:paraId="4A67FD0C">
      <w:pPr>
        <w:spacing w:line="207" w:lineRule="exact"/>
        <w:rPr>
          <w:rFonts w:hint="eastAsia" w:ascii="Times New Roman" w:hAnsi="Times New Roman" w:eastAsia="宋体" w:cs="Times New Roman"/>
          <w:sz w:val="16"/>
          <w:szCs w:val="11"/>
        </w:rPr>
      </w:pPr>
    </w:p>
    <w:p w14:paraId="224AF978">
      <w:pPr>
        <w:spacing w:line="0" w:lineRule="atLeast" w:before="160" w:after="8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【产品特性】</w:t>
      </w:r>
    </w:p>
    <w:p w14:paraId="6D1CDB83">
      <w:pPr>
        <w:numPr>
          <w:ilvl w:val="0"/>
          <w:numId w:val="0"/>
        </w:numPr>
        <w:tabs>
          <w:tab w:val="left" w:pos="840"/>
        </w:tabs>
        <w:spacing w:line="0" w:lineRule="atLeast"/>
        <w:ind w:left="0" w:leftChars="0" w:right="0" w:rightChars="0" w:firstLine="0" w:firstLineChars="0"/>
        <w:jc w:val="both"/>
        <w:rPr>
          <w:rFonts w:hint="eastAsia" w:ascii="宋体" w:hAnsi="宋体" w:eastAsia="宋体" w:cs="Times New Roman"/>
          <w:sz w:val="11"/>
          <w:szCs w:val="6"/>
        </w:rPr>
      </w:pPr>
      <w:bookmarkStart w:id="1" w:name="_GoBack"/>
      <w:bookmarkEnd w:id="1"/>
    </w:p>
    <w:p w14:paraId="3D980457">
      <w:pPr>
        <w:numPr>
          <w:ilvl w:val="0"/>
          <w:numId w:val="1"/>
        </w:numPr>
        <w:tabs>
          <w:tab w:val="left" w:pos="840"/>
        </w:tabs>
        <w:spacing w:line="280" w:lineRule="auto" w:before="0" w:after="60"/>
        <w:ind w:left="840" w:hanging="360"/>
        <w:jc w:val="both"/>
        <w:rPr>
          <w:rFonts w:hint="eastAsia" w:ascii="宋体" w:hAnsi="宋体" w:eastAsia="宋体" w:cs="Times New Roman"/>
          <w:sz w:val="24"/>
        </w:rPr>
      </w:pPr>
      <w:r>
        <w:rPr>
          <w:rFonts w:hint="eastAsia" w:ascii="宋体" w:hAnsi="宋体" w:cs="Times New Roman"/>
          <w:sz w:val="24"/>
        </w:rPr>
        <w:t>成膜非常柔软；</w:t>
      </w:r>
    </w:p>
    <w:p w14:paraId="1E7EBB4B">
      <w:pPr>
        <w:numPr>
          <w:ilvl w:val="0"/>
          <w:numId w:val="1"/>
        </w:numPr>
        <w:tabs>
          <w:tab w:val="left" w:pos="840"/>
        </w:tabs>
        <w:spacing w:line="280" w:lineRule="auto" w:before="0" w:after="60"/>
        <w:ind w:left="840" w:hanging="360"/>
        <w:jc w:val="both"/>
        <w:rPr>
          <w:rFonts w:hint="eastAsia" w:ascii="宋体" w:hAnsi="宋体" w:eastAsia="宋体" w:cs="Times New Roman"/>
          <w:sz w:val="24"/>
        </w:rPr>
      </w:pPr>
      <w:r>
        <w:rPr>
          <w:rFonts w:hint="eastAsia" w:ascii="宋体" w:hAnsi="宋体" w:cs="Times New Roman"/>
          <w:sz w:val="24"/>
        </w:rPr>
        <w:t>优异的接着性能；</w:t>
      </w:r>
    </w:p>
    <w:p w14:paraId="2130D579">
      <w:pPr>
        <w:numPr>
          <w:ilvl w:val="0"/>
          <w:numId w:val="0"/>
        </w:numPr>
        <w:tabs>
          <w:tab w:val="left" w:pos="840"/>
        </w:tabs>
        <w:spacing w:line="0" w:lineRule="atLeast"/>
        <w:ind w:left="0" w:firstLine="0"/>
        <w:jc w:val="both"/>
        <w:rPr>
          <w:rFonts w:ascii="宋体" w:hAnsi="宋体" w:cs="宋体"/>
          <w:b/>
          <w:sz w:val="11"/>
          <w:szCs w:val="4"/>
        </w:rPr>
      </w:pPr>
    </w:p>
    <w:p w14:paraId="5E93C14E">
      <w:pPr>
        <w:spacing w:line="0" w:lineRule="atLeast" w:before="160" w:after="8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【应用】</w:t>
      </w:r>
    </w:p>
    <w:p w14:paraId="363EE6E3">
      <w:pPr>
        <w:spacing w:line="0" w:lineRule="atLeast"/>
        <w:rPr>
          <w:rFonts w:ascii="宋体" w:hAnsi="宋体" w:cs="宋体"/>
          <w:b/>
          <w:sz w:val="13"/>
          <w:szCs w:val="6"/>
        </w:rPr>
      </w:pPr>
    </w:p>
    <w:p w14:paraId="28156706">
      <w:pPr>
        <w:spacing w:line="300" w:lineRule="auto" w:before="0" w:after="60"/>
        <w:ind w:left="0" w:leftChars="0" w:right="0" w:rightChars="0" w:firstLineChars="200"/>
        <w:rPr>
          <w:rFonts w:ascii="宋体" w:hAnsi="宋体" w:cs="宋体"/>
          <w:sz w:val="24"/>
        </w:rPr>
      </w:pPr>
      <w:r>
        <w:rPr>
          <w:rFonts w:hint="eastAsia" w:ascii="宋体" w:hAnsi="宋体" w:cs="Times New Roman"/>
          <w:sz w:val="24"/>
        </w:rPr>
        <w:t>PU-1001 成膜非常柔软，具有极强的粘着能力，可以作为接着层单独使用。也可以与其他材料搭配使用，提升涂层之间的附着力，增强涂层的物性，并且不会增加涂层的负载感。</w:t>
      </w:r>
    </w:p>
    <w:p w14:paraId="1324795C">
      <w:pPr>
        <w:spacing w:line="190" w:lineRule="exact"/>
        <w:rPr>
          <w:rFonts w:ascii="Times New Roman" w:hAnsi="Times New Roman" w:eastAsia="Times New Roman" w:cs="Times New Roman"/>
          <w:sz w:val="20"/>
          <w:szCs w:val="15"/>
        </w:rPr>
      </w:pPr>
    </w:p>
    <w:p w14:paraId="0F17E84C">
      <w:pPr>
        <w:spacing w:line="0" w:lineRule="atLeast" w:before="160" w:after="8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【储存】</w:t>
      </w:r>
    </w:p>
    <w:p w14:paraId="36A4E085">
      <w:pPr>
        <w:spacing w:line="0" w:lineRule="atLeast"/>
        <w:rPr>
          <w:rFonts w:ascii="宋体" w:hAnsi="宋体" w:cs="宋体"/>
          <w:b/>
          <w:sz w:val="13"/>
          <w:szCs w:val="6"/>
        </w:rPr>
      </w:pPr>
    </w:p>
    <w:p w14:paraId="21AFD943">
      <w:pPr>
        <w:spacing w:line="300" w:lineRule="auto" w:before="0" w:after="60"/>
        <w:ind w:left="0" w:leftChars="0" w:right="0" w:rightChars="0" w:firstLineChars="20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cs="Times New Roman"/>
          <w:sz w:val="24"/>
        </w:rPr>
        <w:t>建议储存在 5-35℃通风干燥的环境下，严禁冰冻。本产品自发货之日起保质期为6个月，超过6个月建议复检合格后再使用。</w:t>
      </w:r>
    </w:p>
    <w:p w14:paraId="6A6B313E">
      <w:pPr>
        <w:spacing w:line="324" w:lineRule="auto"/>
        <w:ind w:left="0" w:leftChars="0" w:right="0" w:rightChars="0" w:firstLineChars="200"/>
        <w:rPr>
          <w:rFonts w:ascii="Times New Roman" w:hAnsi="Times New Roman" w:eastAsia="宋体" w:cs="Times New Roman"/>
          <w:sz w:val="24"/>
        </w:rPr>
      </w:pPr>
    </w:p>
    <w:sectPr>
      <w:pgSz w:w="11906" w:h="16838"/>
      <w:pgMar w:top="852" w:right="1120" w:bottom="1440" w:left="1140" w:header="0" w:footer="0" w:gutter="0"/>
      <w:pgNumType w:fmt="decimal"/>
      <w:cols w:space="720" w:num="1"/>
      <w:formProt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Liberation Serif">
    <w:panose1 w:val="02020603050405020304"/>
    <w:charset w:val="01"/>
    <w:family w:val="roman"/>
    <w:pitch w:val="default"/>
    <w:sig w:usb0="E0000AFF" w:usb1="500078FF" w:usb2="00000021" w:usb3="00000000" w:csb0="600001BF" w:csb1="DFF70000"/>
  </w:font>
  <w:font w:name="Noto Serif SC">
    <w:panose1 w:val="02020200000000000000"/>
    <w:charset w:val="86"/>
    <w:family w:val="auto"/>
    <w:pitch w:val="default"/>
    <w:sig w:usb0="20000083" w:usb1="2ADF3C10" w:usb2="00000016" w:usb3="00000000" w:csb0="60060107" w:csb1="00000000"/>
  </w:font>
  <w:font w:name="Liberation Sans">
    <w:panose1 w:val="020B0604020202020204"/>
    <w:charset w:val="01"/>
    <w:family w:val="swiss"/>
    <w:pitch w:val="default"/>
    <w:sig w:usb0="E0000AFF" w:usb1="500078FF" w:usb2="00000021" w:usb3="00000000" w:csb0="600001BF" w:csb1="DFF7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decimal"/>
      <w:lvlText w:val="%1."/>
      <w:lvlJc w:val="left"/>
      <w:pPr>
        <w:tabs>
          <w:tab w:val="left" w:pos="0"/>
        </w:tabs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autoHyphenation/>
  <w:hyphenationZone w:val="0"/>
  <w:compat>
    <w:doNotExpandShiftReturn/>
    <w:useFELayout/>
    <w:compatSetting w:name="compatibilityMode" w:uri="http://schemas.microsoft.com/office/word" w:val="11"/>
  </w:compat>
  <w:docVars>
    <w:docVar w:name="commondata" w:val="eyJoZGlkIjoiYWFmODNlYzJiYzNlNTJmMjNkNTYyNzI0OTNkNjNjYzUifQ=="/>
    <w:docVar w:name="KSO_WPS_MARK_KEY" w:val="2c3153f3-9f71-4ab4-9e23-6c8d3c59662f"/>
  </w:docVars>
  <w:rsids>
    <w:rsidRoot w:val="00000000"/>
    <w:rsid w:val="0B7671EB"/>
    <w:rsid w:val="4A6479BB"/>
    <w:rsid w:val="5111020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Liberation Serif" w:hAnsi="Liberation Serif" w:eastAsia="Noto Serif SC" w:cs="Arial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/>
      <w:suppressAutoHyphens/>
      <w:bidi w:val="0"/>
    </w:pPr>
    <w:rPr>
      <w:rFonts w:ascii="Times New Roman" w:hAnsi="Times New Roman" w:eastAsia="宋体" w:cs="Times New Roman"/>
      <w:color w:val="auto"/>
      <w:sz w:val="20"/>
      <w:szCs w:val="20"/>
      <w:lang w:val="en-US" w:eastAsia="zh-CN" w:bidi="ar-SA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caption"/>
    <w:basedOn w:val="1"/>
    <w:qFormat/>
    <w:uiPriority w:val="0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3">
    <w:name w:val="Body Text"/>
    <w:basedOn w:val="1"/>
    <w:qFormat/>
    <w:uiPriority w:val="0"/>
    <w:pPr>
      <w:spacing w:before="0" w:after="140" w:line="276" w:lineRule="auto"/>
    </w:p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qFormat/>
    <w:uiPriority w:val="0"/>
    <w:pPr>
      <w:pBdr>
        <w:bottom w:val="single" w:color="000000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List"/>
    <w:basedOn w:val="3"/>
    <w:qFormat/>
    <w:uiPriority w:val="0"/>
    <w:rPr>
      <w:rFonts w:cs="Arial"/>
    </w:rPr>
  </w:style>
  <w:style w:type="character" w:customStyle="1" w:styleId="9">
    <w:name w:val="默认段落字体1"/>
    <w:uiPriority w:val="0"/>
  </w:style>
  <w:style w:type="character" w:customStyle="1" w:styleId="10">
    <w:name w:val="页脚 字符"/>
    <w:qFormat/>
    <w:uiPriority w:val="0"/>
    <w:rPr>
      <w:sz w:val="18"/>
      <w:szCs w:val="18"/>
    </w:rPr>
  </w:style>
  <w:style w:type="character" w:customStyle="1" w:styleId="11">
    <w:name w:val="页眉 字符"/>
    <w:qFormat/>
    <w:uiPriority w:val="0"/>
    <w:rPr>
      <w:sz w:val="18"/>
      <w:szCs w:val="18"/>
    </w:rPr>
  </w:style>
  <w:style w:type="character" w:customStyle="1" w:styleId="12">
    <w:name w:val="HTML 代码1"/>
    <w:basedOn w:val="9"/>
    <w:qFormat/>
    <w:uiPriority w:val="0"/>
    <w:rPr>
      <w:rFonts w:ascii="Courier New" w:hAnsi="Courier New" w:cs="Courier New"/>
      <w:sz w:val="20"/>
    </w:rPr>
  </w:style>
  <w:style w:type="paragraph" w:customStyle="1" w:styleId="13">
    <w:name w:val="标题样式"/>
    <w:basedOn w:val="1"/>
    <w:next w:val="3"/>
    <w:qFormat/>
    <w:uiPriority w:val="0"/>
    <w:pPr>
      <w:keepNext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customStyle="1" w:styleId="14">
    <w:name w:val="索引"/>
    <w:basedOn w:val="1"/>
    <w:qFormat/>
    <w:uiPriority w:val="0"/>
    <w:pPr>
      <w:suppressLineNumbers/>
    </w:pPr>
    <w:rPr>
      <w:rFonts w:cs="Arial"/>
    </w:rPr>
  </w:style>
  <w:style w:type="paragraph" w:customStyle="1" w:styleId="15">
    <w:name w:val="页眉与页脚"/>
    <w:basedOn w:val="1"/>
    <w:qFormat/>
    <w:uiPriority w:val="0"/>
    <w:pPr>
      <w:suppressLineNumbers/>
      <w:tabs>
        <w:tab w:val="center" w:pos="4819"/>
        <w:tab w:val="right" w:pos="9638"/>
      </w:tabs>
    </w:pPr>
  </w:style>
  <w:style w:type="paragraph" w:customStyle="1" w:styleId="16">
    <w:name w:val="列表段落"/>
    <w:basedOn w:val="1"/>
    <w:qFormat/>
    <w:uiPriority w:val="0"/>
    <w:pPr>
      <w:ind w:left="0" w:leftChars="0" w:right="0" w:rightChars="0" w:firstLineChars="200"/>
    </w:pPr>
  </w:style>
  <w:style w:type="paragraph" w:customStyle="1" w:styleId="17">
    <w:name w:val="表格内容"/>
    <w:basedOn w:val="1"/>
    <w:qFormat/>
    <w:uiPriority w:val="0"/>
    <w:pPr>
      <w:widowControl w:val="0"/>
      <w:suppressLineNumbers/>
    </w:pPr>
  </w:style>
  <w:style w:type="paragraph" w:customStyle="1" w:styleId="18">
    <w:name w:val="表格标题"/>
    <w:basedOn w:val="17"/>
    <w:qFormat/>
    <w:uiPriority w:val="0"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423</Words>
  <Characters>540</Characters>
  <TotalTime>0</TotalTime>
  <ScaleCrop>false</ScaleCrop>
  <LinksUpToDate>false</LinksUpToDate>
  <CharactersWithSpaces>555</CharactersWithSpaces>
  <Application>WPS Office_12.1.0.28043_F1E327BC-269C-435d-A152-05C5408002CA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2021-08-28T10:35:00Z</dcterms:created>
  <dc:creator>雨林永存</dc:creator>
  <cp:lastModifiedBy>陈子钦</cp:lastModifiedBy>
  <cp:lastPrinted>2022-04-01T10:10:00Z</cp:lastPrinted>
  <dcterms:modified xsi:type="dcterms:W3CDTF">2026-09-14T09:14:24Z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1495CC035AC1451997E4FF11078063A1_13</vt:lpwstr>
  </property>
  <property fmtid="{D5CDD505-2E9C-101B-9397-08002B2CF9AE}" pid="3" name="KSOProductBuildVer">
    <vt:lpwstr>2052-12.1.0.28043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