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C7561">
      <w:pPr>
        <w:rPr>
          <w:rFonts w:hint="eastAsia"/>
          <w:b/>
          <w:bCs/>
          <w:sz w:val="22"/>
          <w:szCs w:val="28"/>
          <w:lang w:val="en-US" w:eastAsia="zh-CN"/>
        </w:rPr>
      </w:pPr>
    </w:p>
    <w:p w14:paraId="522E2C57">
      <w:pPr>
        <w:numPr>
          <w:ilvl w:val="0"/>
          <w:numId w:val="1"/>
        </w:num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基本信息：</w:t>
      </w:r>
    </w:p>
    <w:p w14:paraId="028EFF75">
      <w:pPr>
        <w:numPr>
          <w:ilvl w:val="0"/>
          <w:numId w:val="2"/>
        </w:numPr>
        <w:ind w:left="320" w:leftChars="0" w:firstLine="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受检型号：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水性聚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氨酯分散体 PU-3011</w:t>
      </w:r>
    </w:p>
    <w:p w14:paraId="45021EC6">
      <w:pPr>
        <w:numPr>
          <w:ilvl w:val="0"/>
          <w:numId w:val="2"/>
        </w:numPr>
        <w:ind w:left="320" w:leftChars="0" w:firstLine="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检测日期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2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026/9/18</w:t>
      </w:r>
    </w:p>
    <w:p w14:paraId="21567253">
      <w:pPr>
        <w:numPr>
          <w:ilvl w:val="0"/>
          <w:numId w:val="2"/>
        </w:numPr>
        <w:ind w:left="320" w:leftChars="0" w:firstLine="0" w:firstLineChars="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检测项目：</w:t>
      </w:r>
    </w:p>
    <w:p w14:paraId="248F3318">
      <w:pPr>
        <w:numPr>
          <w:numId w:val="0"/>
        </w:numPr>
        <w:rPr>
          <w:rFonts w:hint="default"/>
          <w:b w:val="0"/>
          <w:bCs w:val="0"/>
          <w:sz w:val="24"/>
          <w:szCs w:val="32"/>
          <w:vertAlign w:val="baseline"/>
          <w:lang w:val="en-US" w:eastAsia="zh-CN"/>
        </w:rPr>
      </w:pPr>
    </w:p>
    <w:tbl>
      <w:tblPr>
        <w:tblStyle w:val="5"/>
        <w:tblW w:w="0" w:type="auto"/>
        <w:tblInd w:w="9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82"/>
        <w:gridCol w:w="6812"/>
      </w:tblGrid>
      <w:tr w14:paraId="57B63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2" w:type="dxa"/>
            <w:vAlign w:val="top"/>
          </w:tcPr>
          <w:p w14:paraId="36B97C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  <w:t>REACH SVHC 253项</w:t>
            </w:r>
          </w:p>
        </w:tc>
        <w:tc>
          <w:tcPr>
            <w:tcW w:w="6812" w:type="dxa"/>
          </w:tcPr>
          <w:p w14:paraId="5B600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欧盟REACH法规—高度关注物质候选清单（SVHC）</w:t>
            </w:r>
          </w:p>
        </w:tc>
      </w:tr>
      <w:tr w14:paraId="6DE66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2" w:type="dxa"/>
            <w:vAlign w:val="top"/>
          </w:tcPr>
          <w:p w14:paraId="5A7508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  <w:t>REACH Annex XVII</w:t>
            </w:r>
          </w:p>
        </w:tc>
        <w:tc>
          <w:tcPr>
            <w:tcW w:w="6812" w:type="dxa"/>
          </w:tcPr>
          <w:p w14:paraId="3F61A2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欧盟REACH法规附件XVII—限制物质清单</w:t>
            </w:r>
          </w:p>
        </w:tc>
      </w:tr>
      <w:tr w14:paraId="50949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2" w:type="dxa"/>
            <w:vAlign w:val="top"/>
          </w:tcPr>
          <w:p w14:paraId="6C0033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  <w:t>RoHS</w:t>
            </w:r>
          </w:p>
        </w:tc>
        <w:tc>
          <w:tcPr>
            <w:tcW w:w="6812" w:type="dxa"/>
          </w:tcPr>
          <w:p w14:paraId="55FFDA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欧盟《关于限制在电气电子设备中使用某些有害物质的指令》</w:t>
            </w:r>
          </w:p>
        </w:tc>
      </w:tr>
      <w:tr w14:paraId="2F6D2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2" w:type="dxa"/>
            <w:vAlign w:val="top"/>
          </w:tcPr>
          <w:p w14:paraId="186C4128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  <w:t>HSF 001</w:t>
            </w:r>
          </w:p>
        </w:tc>
        <w:tc>
          <w:tcPr>
            <w:tcW w:w="6812" w:type="dxa"/>
          </w:tcPr>
          <w:p w14:paraId="64BB7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HSF（Hazardous Substance Free）有害物质无害化/无有害物质管理要求</w:t>
            </w:r>
          </w:p>
        </w:tc>
      </w:tr>
      <w:tr w14:paraId="79AD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2" w:type="dxa"/>
            <w:vAlign w:val="top"/>
          </w:tcPr>
          <w:p w14:paraId="34C766CF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  <w:t>BSBL</w:t>
            </w:r>
          </w:p>
        </w:tc>
        <w:tc>
          <w:tcPr>
            <w:tcW w:w="6812" w:type="dxa"/>
          </w:tcPr>
          <w:p w14:paraId="01311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bluesign® SYSTEM BLACK LIMITS（bluesign体系黑色限值清单）</w:t>
            </w:r>
          </w:p>
        </w:tc>
      </w:tr>
      <w:tr w14:paraId="44884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2" w:type="dxa"/>
            <w:vAlign w:val="top"/>
          </w:tcPr>
          <w:p w14:paraId="3A1F3B97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19"/>
                <w:szCs w:val="19"/>
                <w:lang w:val="en-US" w:eastAsia="zh-CN" w:bidi="ar"/>
              </w:rPr>
              <w:t>AfPS GS 2019:01 PAK</w:t>
            </w:r>
          </w:p>
        </w:tc>
        <w:tc>
          <w:tcPr>
            <w:tcW w:w="6812" w:type="dxa"/>
          </w:tcPr>
          <w:p w14:paraId="5C562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德国产品安全委员会GS认证—多环芳烃（PAHs）测试与评估规范</w:t>
            </w:r>
          </w:p>
        </w:tc>
      </w:tr>
    </w:tbl>
    <w:p w14:paraId="4ED46D73">
      <w:pPr>
        <w:numPr>
          <w:numId w:val="0"/>
        </w:numPr>
        <w:ind w:left="320" w:leftChars="0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17DECA6">
      <w:pPr>
        <w:numPr>
          <w:ilvl w:val="0"/>
          <w:numId w:val="1"/>
        </w:num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检测结果：</w:t>
      </w:r>
    </w:p>
    <w:tbl>
      <w:tblPr>
        <w:tblStyle w:val="5"/>
        <w:tblW w:w="9195" w:type="dxa"/>
        <w:tblInd w:w="9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27"/>
        <w:gridCol w:w="2086"/>
        <w:gridCol w:w="1452"/>
        <w:gridCol w:w="1359"/>
        <w:gridCol w:w="3071"/>
      </w:tblGrid>
      <w:tr w14:paraId="57B5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3" w:hRule="atLeast"/>
        </w:trPr>
        <w:tc>
          <w:tcPr>
            <w:tcW w:w="3313" w:type="dxa"/>
            <w:gridSpan w:val="2"/>
            <w:shd w:val="clear"/>
            <w:vAlign w:val="center"/>
          </w:tcPr>
          <w:p w14:paraId="68ADF9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28"/>
                <w:szCs w:val="28"/>
                <w:lang w:val="en-US" w:eastAsia="zh-CN" w:bidi="ar"/>
              </w:rPr>
              <w:t>REACH SVHC 253项</w:t>
            </w:r>
          </w:p>
        </w:tc>
        <w:tc>
          <w:tcPr>
            <w:tcW w:w="5882" w:type="dxa"/>
            <w:gridSpan w:val="3"/>
            <w:vAlign w:val="center"/>
          </w:tcPr>
          <w:p w14:paraId="1DC3D9A8">
            <w:pPr>
              <w:numPr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highlight w:val="green"/>
                <w:vertAlign w:val="baseline"/>
                <w:lang w:val="en-US" w:eastAsia="zh-CN"/>
              </w:rPr>
              <w:t>检测通过</w:t>
            </w:r>
          </w:p>
        </w:tc>
      </w:tr>
      <w:tr w14:paraId="5735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0" w:hRule="atLeast"/>
        </w:trPr>
        <w:tc>
          <w:tcPr>
            <w:tcW w:w="1227" w:type="dxa"/>
            <w:vAlign w:val="center"/>
          </w:tcPr>
          <w:p w14:paraId="402A85AA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086" w:type="dxa"/>
            <w:vAlign w:val="center"/>
          </w:tcPr>
          <w:p w14:paraId="0820FA54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1452" w:type="dxa"/>
            <w:vAlign w:val="center"/>
          </w:tcPr>
          <w:p w14:paraId="1F8415FF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N/A</w:t>
            </w:r>
          </w:p>
        </w:tc>
        <w:tc>
          <w:tcPr>
            <w:tcW w:w="1359" w:type="dxa"/>
            <w:vAlign w:val="center"/>
          </w:tcPr>
          <w:p w14:paraId="592C5FE1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33.0~35.0</w:t>
            </w:r>
          </w:p>
        </w:tc>
        <w:tc>
          <w:tcPr>
            <w:tcW w:w="3071" w:type="dxa"/>
            <w:vAlign w:val="center"/>
          </w:tcPr>
          <w:p w14:paraId="674B194D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highlight w:val="green"/>
                <w:lang w:val="en-US" w:eastAsia="zh-CN" w:bidi="ar-SA"/>
              </w:rPr>
              <w:t>无限值</w:t>
            </w:r>
          </w:p>
        </w:tc>
      </w:tr>
      <w:tr w14:paraId="564D7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6" w:hRule="atLeast"/>
        </w:trPr>
        <w:tc>
          <w:tcPr>
            <w:tcW w:w="1227" w:type="dxa"/>
            <w:shd w:val="clear"/>
            <w:vAlign w:val="center"/>
          </w:tcPr>
          <w:p w14:paraId="67B6156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086" w:type="dxa"/>
            <w:shd w:val="clear"/>
            <w:vAlign w:val="center"/>
          </w:tcPr>
          <w:p w14:paraId="7AD939E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1452" w:type="dxa"/>
            <w:shd w:val="clear"/>
            <w:vAlign w:val="center"/>
          </w:tcPr>
          <w:p w14:paraId="681BA50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1359" w:type="dxa"/>
            <w:shd w:val="clear"/>
            <w:vAlign w:val="center"/>
          </w:tcPr>
          <w:p w14:paraId="7948D8C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65.0~67.0</w:t>
            </w:r>
          </w:p>
        </w:tc>
        <w:tc>
          <w:tcPr>
            <w:tcW w:w="3071" w:type="dxa"/>
            <w:shd w:val="clear"/>
            <w:vAlign w:val="center"/>
          </w:tcPr>
          <w:p w14:paraId="6988A41E">
            <w:pPr>
              <w:numPr>
                <w:ilvl w:val="0"/>
                <w:numId w:val="0"/>
              </w:numPr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highlight w:val="green"/>
                <w:lang w:val="en-US" w:eastAsia="zh-CN" w:bidi="ar-SA"/>
              </w:rPr>
              <w:t>无限值</w:t>
            </w:r>
          </w:p>
        </w:tc>
      </w:tr>
    </w:tbl>
    <w:p w14:paraId="1643D80C">
      <w:pPr>
        <w:numPr>
          <w:numId w:val="0"/>
        </w:num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     </w:t>
      </w:r>
    </w:p>
    <w:tbl>
      <w:tblPr>
        <w:tblStyle w:val="5"/>
        <w:tblW w:w="9195" w:type="dxa"/>
        <w:tblInd w:w="9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086"/>
        <w:gridCol w:w="1452"/>
        <w:gridCol w:w="1359"/>
        <w:gridCol w:w="3071"/>
      </w:tblGrid>
      <w:tr w14:paraId="0784C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313" w:type="dxa"/>
            <w:gridSpan w:val="2"/>
            <w:shd w:val="clear"/>
            <w:vAlign w:val="top"/>
          </w:tcPr>
          <w:p w14:paraId="3154BF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28"/>
                <w:szCs w:val="28"/>
                <w:lang w:val="en-US" w:eastAsia="zh-CN" w:bidi="ar"/>
              </w:rPr>
              <w:t>REACH Annex XVII</w:t>
            </w:r>
          </w:p>
        </w:tc>
        <w:tc>
          <w:tcPr>
            <w:tcW w:w="5882" w:type="dxa"/>
            <w:gridSpan w:val="3"/>
            <w:vAlign w:val="center"/>
          </w:tcPr>
          <w:p w14:paraId="2BF5AAA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highlight w:val="green"/>
                <w:vertAlign w:val="baseline"/>
                <w:lang w:val="en-US" w:eastAsia="zh-CN"/>
              </w:rPr>
              <w:t>检测通过</w:t>
            </w:r>
          </w:p>
        </w:tc>
      </w:tr>
      <w:tr w14:paraId="12BF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227" w:type="dxa"/>
            <w:vAlign w:val="center"/>
          </w:tcPr>
          <w:p w14:paraId="60B43B2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086" w:type="dxa"/>
            <w:vAlign w:val="center"/>
          </w:tcPr>
          <w:p w14:paraId="50E8404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1452" w:type="dxa"/>
            <w:vAlign w:val="center"/>
          </w:tcPr>
          <w:p w14:paraId="34A53A9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N/A</w:t>
            </w:r>
          </w:p>
        </w:tc>
        <w:tc>
          <w:tcPr>
            <w:tcW w:w="1359" w:type="dxa"/>
            <w:vAlign w:val="center"/>
          </w:tcPr>
          <w:p w14:paraId="1D0389A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33.0~35.0</w:t>
            </w:r>
          </w:p>
        </w:tc>
        <w:tc>
          <w:tcPr>
            <w:tcW w:w="3071" w:type="dxa"/>
            <w:vAlign w:val="center"/>
          </w:tcPr>
          <w:p w14:paraId="26E226D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highlight w:val="green"/>
                <w:lang w:val="en-US" w:eastAsia="zh-CN" w:bidi="ar-SA"/>
              </w:rPr>
              <w:t>无限值</w:t>
            </w:r>
          </w:p>
        </w:tc>
      </w:tr>
      <w:tr w14:paraId="72BD5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227" w:type="dxa"/>
            <w:shd w:val="clear" w:color="auto" w:fill="auto"/>
            <w:vAlign w:val="center"/>
          </w:tcPr>
          <w:p w14:paraId="154538F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31769C6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5564EBC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4B57372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65.0~67.0</w:t>
            </w:r>
          </w:p>
        </w:tc>
        <w:tc>
          <w:tcPr>
            <w:tcW w:w="3071" w:type="dxa"/>
            <w:shd w:val="clear" w:color="auto" w:fill="auto"/>
            <w:vAlign w:val="center"/>
          </w:tcPr>
          <w:p w14:paraId="2BAFB16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highlight w:val="green"/>
                <w:lang w:val="en-US" w:eastAsia="zh-CN" w:bidi="ar-SA"/>
              </w:rPr>
              <w:t>无限值</w:t>
            </w:r>
          </w:p>
        </w:tc>
      </w:tr>
    </w:tbl>
    <w:p w14:paraId="679C7E3D">
      <w:pPr>
        <w:numPr>
          <w:numId w:val="0"/>
        </w:numPr>
        <w:rPr>
          <w:rFonts w:hint="default"/>
          <w:b/>
          <w:bCs/>
          <w:sz w:val="32"/>
          <w:szCs w:val="40"/>
          <w:lang w:val="en-US" w:eastAsia="zh-CN"/>
        </w:rPr>
      </w:pPr>
    </w:p>
    <w:tbl>
      <w:tblPr>
        <w:tblStyle w:val="5"/>
        <w:tblW w:w="9195" w:type="dxa"/>
        <w:tblInd w:w="9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086"/>
        <w:gridCol w:w="1452"/>
        <w:gridCol w:w="1359"/>
        <w:gridCol w:w="3071"/>
      </w:tblGrid>
      <w:tr w14:paraId="72CC8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313" w:type="dxa"/>
            <w:gridSpan w:val="2"/>
            <w:shd w:val="clear" w:color="auto" w:fill="auto"/>
            <w:vAlign w:val="top"/>
          </w:tcPr>
          <w:p w14:paraId="10A5A3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28"/>
                <w:szCs w:val="28"/>
                <w:lang w:val="en-US" w:eastAsia="zh-CN" w:bidi="ar"/>
              </w:rPr>
              <w:t>RoHS</w:t>
            </w:r>
          </w:p>
        </w:tc>
        <w:tc>
          <w:tcPr>
            <w:tcW w:w="5882" w:type="dxa"/>
            <w:gridSpan w:val="3"/>
            <w:vAlign w:val="center"/>
          </w:tcPr>
          <w:p w14:paraId="1B94405E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highlight w:val="green"/>
                <w:vertAlign w:val="baseline"/>
                <w:lang w:val="en-US" w:eastAsia="zh-CN"/>
              </w:rPr>
              <w:t>检测通过</w:t>
            </w:r>
          </w:p>
        </w:tc>
      </w:tr>
      <w:tr w14:paraId="2241A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227" w:type="dxa"/>
            <w:vAlign w:val="center"/>
          </w:tcPr>
          <w:p w14:paraId="6E18D12C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086" w:type="dxa"/>
            <w:vAlign w:val="center"/>
          </w:tcPr>
          <w:p w14:paraId="37C589C2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1452" w:type="dxa"/>
            <w:vAlign w:val="center"/>
          </w:tcPr>
          <w:p w14:paraId="17E457D2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N/A</w:t>
            </w:r>
          </w:p>
        </w:tc>
        <w:tc>
          <w:tcPr>
            <w:tcW w:w="1359" w:type="dxa"/>
            <w:vAlign w:val="center"/>
          </w:tcPr>
          <w:p w14:paraId="0B52526C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33.0~35.0</w:t>
            </w:r>
          </w:p>
        </w:tc>
        <w:tc>
          <w:tcPr>
            <w:tcW w:w="3071" w:type="dxa"/>
            <w:vAlign w:val="center"/>
          </w:tcPr>
          <w:p w14:paraId="4236B7D4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highlight w:val="green"/>
                <w:lang w:val="en-US" w:eastAsia="zh-CN" w:bidi="ar-SA"/>
              </w:rPr>
              <w:t>无限值</w:t>
            </w:r>
          </w:p>
        </w:tc>
      </w:tr>
      <w:tr w14:paraId="500D2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227" w:type="dxa"/>
            <w:shd w:val="clear" w:color="auto" w:fill="auto"/>
            <w:vAlign w:val="center"/>
          </w:tcPr>
          <w:p w14:paraId="36DE121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752A41F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2FF3A73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5E6774D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65.0~67.0</w:t>
            </w:r>
          </w:p>
        </w:tc>
        <w:tc>
          <w:tcPr>
            <w:tcW w:w="3071" w:type="dxa"/>
            <w:shd w:val="clear" w:color="auto" w:fill="auto"/>
            <w:vAlign w:val="center"/>
          </w:tcPr>
          <w:p w14:paraId="5DBF861D">
            <w:pPr>
              <w:numPr>
                <w:ilvl w:val="0"/>
                <w:numId w:val="0"/>
              </w:numPr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highlight w:val="green"/>
                <w:lang w:val="en-US" w:eastAsia="zh-CN" w:bidi="ar-SA"/>
              </w:rPr>
              <w:t>无限值</w:t>
            </w:r>
          </w:p>
        </w:tc>
      </w:tr>
    </w:tbl>
    <w:p w14:paraId="53DE50B6">
      <w:pPr>
        <w:numPr>
          <w:numId w:val="0"/>
        </w:numPr>
        <w:rPr>
          <w:rFonts w:hint="default"/>
          <w:b/>
          <w:bCs/>
          <w:sz w:val="32"/>
          <w:szCs w:val="40"/>
          <w:lang w:val="en-US" w:eastAsia="zh-CN"/>
        </w:rPr>
      </w:pPr>
    </w:p>
    <w:tbl>
      <w:tblPr>
        <w:tblStyle w:val="5"/>
        <w:tblW w:w="9195" w:type="dxa"/>
        <w:tblInd w:w="9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086"/>
        <w:gridCol w:w="1452"/>
        <w:gridCol w:w="1359"/>
        <w:gridCol w:w="3071"/>
      </w:tblGrid>
      <w:tr w14:paraId="5BC06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313" w:type="dxa"/>
            <w:gridSpan w:val="2"/>
            <w:shd w:val="clear" w:color="auto" w:fill="auto"/>
            <w:vAlign w:val="top"/>
          </w:tcPr>
          <w:p w14:paraId="3DA09D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28"/>
                <w:szCs w:val="28"/>
                <w:lang w:val="en-US" w:eastAsia="zh-CN" w:bidi="ar"/>
              </w:rPr>
              <w:t>HSF 001</w:t>
            </w:r>
          </w:p>
        </w:tc>
        <w:tc>
          <w:tcPr>
            <w:tcW w:w="5882" w:type="dxa"/>
            <w:gridSpan w:val="3"/>
            <w:vAlign w:val="center"/>
          </w:tcPr>
          <w:p w14:paraId="3646B7D9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highlight w:val="green"/>
                <w:vertAlign w:val="baseline"/>
                <w:lang w:val="en-US" w:eastAsia="zh-CN"/>
              </w:rPr>
              <w:t>检测通过</w:t>
            </w:r>
          </w:p>
        </w:tc>
      </w:tr>
      <w:tr w14:paraId="08C01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227" w:type="dxa"/>
            <w:vAlign w:val="center"/>
          </w:tcPr>
          <w:p w14:paraId="6592B898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086" w:type="dxa"/>
            <w:vAlign w:val="center"/>
          </w:tcPr>
          <w:p w14:paraId="21E9866E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1452" w:type="dxa"/>
            <w:vAlign w:val="center"/>
          </w:tcPr>
          <w:p w14:paraId="3B2E6DBE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N/A</w:t>
            </w:r>
          </w:p>
        </w:tc>
        <w:tc>
          <w:tcPr>
            <w:tcW w:w="1359" w:type="dxa"/>
            <w:vAlign w:val="center"/>
          </w:tcPr>
          <w:p w14:paraId="687E69BE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33.0~35.0</w:t>
            </w:r>
          </w:p>
        </w:tc>
        <w:tc>
          <w:tcPr>
            <w:tcW w:w="3071" w:type="dxa"/>
            <w:vAlign w:val="center"/>
          </w:tcPr>
          <w:p w14:paraId="02611A06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highlight w:val="green"/>
                <w:lang w:val="en-US" w:eastAsia="zh-CN" w:bidi="ar-SA"/>
              </w:rPr>
              <w:t>无限值</w:t>
            </w:r>
          </w:p>
        </w:tc>
      </w:tr>
      <w:tr w14:paraId="610E7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227" w:type="dxa"/>
            <w:shd w:val="clear" w:color="auto" w:fill="auto"/>
            <w:vAlign w:val="center"/>
          </w:tcPr>
          <w:p w14:paraId="3EE85C8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15FBC49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6DDD2FB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62EEFBB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65.0~67.0</w:t>
            </w:r>
          </w:p>
        </w:tc>
        <w:tc>
          <w:tcPr>
            <w:tcW w:w="3071" w:type="dxa"/>
            <w:shd w:val="clear" w:color="auto" w:fill="auto"/>
            <w:vAlign w:val="center"/>
          </w:tcPr>
          <w:p w14:paraId="4900BEC0">
            <w:pPr>
              <w:numPr>
                <w:ilvl w:val="0"/>
                <w:numId w:val="0"/>
              </w:numPr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highlight w:val="green"/>
                <w:lang w:val="en-US" w:eastAsia="zh-CN" w:bidi="ar-SA"/>
              </w:rPr>
              <w:t>无限值</w:t>
            </w:r>
          </w:p>
        </w:tc>
      </w:tr>
    </w:tbl>
    <w:p w14:paraId="4EDD4805">
      <w:pPr>
        <w:numPr>
          <w:numId w:val="0"/>
        </w:numPr>
        <w:rPr>
          <w:rFonts w:hint="default"/>
          <w:b/>
          <w:bCs/>
          <w:sz w:val="32"/>
          <w:szCs w:val="40"/>
          <w:lang w:val="en-US" w:eastAsia="zh-CN"/>
        </w:rPr>
      </w:pPr>
    </w:p>
    <w:p w14:paraId="4DF6466A">
      <w:pPr>
        <w:numPr>
          <w:numId w:val="0"/>
        </w:numPr>
        <w:rPr>
          <w:rFonts w:hint="default"/>
          <w:b/>
          <w:bCs/>
          <w:sz w:val="32"/>
          <w:szCs w:val="40"/>
          <w:lang w:val="en-US" w:eastAsia="zh-CN"/>
        </w:rPr>
      </w:pPr>
    </w:p>
    <w:tbl>
      <w:tblPr>
        <w:tblStyle w:val="5"/>
        <w:tblW w:w="9195" w:type="dxa"/>
        <w:tblInd w:w="9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086"/>
        <w:gridCol w:w="1452"/>
        <w:gridCol w:w="1359"/>
        <w:gridCol w:w="3071"/>
      </w:tblGrid>
      <w:tr w14:paraId="400D8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313" w:type="dxa"/>
            <w:gridSpan w:val="2"/>
            <w:shd w:val="clear" w:color="auto" w:fill="auto"/>
            <w:vAlign w:val="top"/>
          </w:tcPr>
          <w:p w14:paraId="606105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28"/>
                <w:szCs w:val="28"/>
                <w:lang w:val="en-US" w:eastAsia="zh-CN" w:bidi="ar"/>
              </w:rPr>
              <w:t>BSBL</w:t>
            </w:r>
          </w:p>
        </w:tc>
        <w:tc>
          <w:tcPr>
            <w:tcW w:w="5882" w:type="dxa"/>
            <w:gridSpan w:val="3"/>
            <w:vAlign w:val="center"/>
          </w:tcPr>
          <w:p w14:paraId="76C38AA8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highlight w:val="green"/>
                <w:vertAlign w:val="baseline"/>
                <w:lang w:val="en-US" w:eastAsia="zh-CN"/>
              </w:rPr>
              <w:t>检测通过</w:t>
            </w:r>
          </w:p>
        </w:tc>
      </w:tr>
      <w:tr w14:paraId="275D6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227" w:type="dxa"/>
            <w:vAlign w:val="center"/>
          </w:tcPr>
          <w:p w14:paraId="4E2FA303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086" w:type="dxa"/>
            <w:vAlign w:val="center"/>
          </w:tcPr>
          <w:p w14:paraId="7A52D6EB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1452" w:type="dxa"/>
            <w:vAlign w:val="center"/>
          </w:tcPr>
          <w:p w14:paraId="4350063E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N/A</w:t>
            </w:r>
          </w:p>
        </w:tc>
        <w:tc>
          <w:tcPr>
            <w:tcW w:w="1359" w:type="dxa"/>
            <w:vAlign w:val="center"/>
          </w:tcPr>
          <w:p w14:paraId="470CC9FB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33.0~35.0</w:t>
            </w:r>
          </w:p>
        </w:tc>
        <w:tc>
          <w:tcPr>
            <w:tcW w:w="3071" w:type="dxa"/>
            <w:vAlign w:val="center"/>
          </w:tcPr>
          <w:p w14:paraId="50B170C9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highlight w:val="green"/>
                <w:lang w:val="en-US" w:eastAsia="zh-CN" w:bidi="ar-SA"/>
              </w:rPr>
              <w:t>无限值</w:t>
            </w:r>
          </w:p>
        </w:tc>
      </w:tr>
      <w:tr w14:paraId="44C44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227" w:type="dxa"/>
            <w:shd w:val="clear" w:color="auto" w:fill="auto"/>
            <w:vAlign w:val="center"/>
          </w:tcPr>
          <w:p w14:paraId="4B3A56B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4AAC8B4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5AA36B1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3EAC866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65.0~67.0</w:t>
            </w:r>
          </w:p>
        </w:tc>
        <w:tc>
          <w:tcPr>
            <w:tcW w:w="3071" w:type="dxa"/>
            <w:shd w:val="clear" w:color="auto" w:fill="auto"/>
            <w:vAlign w:val="center"/>
          </w:tcPr>
          <w:p w14:paraId="4E37A48F">
            <w:pPr>
              <w:numPr>
                <w:ilvl w:val="0"/>
                <w:numId w:val="0"/>
              </w:numPr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highlight w:val="green"/>
                <w:lang w:val="en-US" w:eastAsia="zh-CN" w:bidi="ar-SA"/>
              </w:rPr>
              <w:t>无限值</w:t>
            </w:r>
          </w:p>
        </w:tc>
      </w:tr>
    </w:tbl>
    <w:p w14:paraId="6E334B3A">
      <w:pPr>
        <w:numPr>
          <w:numId w:val="0"/>
        </w:numPr>
        <w:rPr>
          <w:rFonts w:hint="default"/>
          <w:b/>
          <w:bCs/>
          <w:sz w:val="32"/>
          <w:szCs w:val="40"/>
          <w:lang w:val="en-US" w:eastAsia="zh-CN"/>
        </w:rPr>
      </w:pPr>
    </w:p>
    <w:tbl>
      <w:tblPr>
        <w:tblStyle w:val="5"/>
        <w:tblW w:w="9195" w:type="dxa"/>
        <w:tblInd w:w="9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086"/>
        <w:gridCol w:w="1452"/>
        <w:gridCol w:w="1359"/>
        <w:gridCol w:w="3071"/>
      </w:tblGrid>
      <w:tr w14:paraId="1678E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313" w:type="dxa"/>
            <w:gridSpan w:val="2"/>
            <w:shd w:val="clear" w:color="auto" w:fill="auto"/>
            <w:vAlign w:val="top"/>
          </w:tcPr>
          <w:p w14:paraId="4B2157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color w:val="270561"/>
                <w:kern w:val="0"/>
                <w:sz w:val="28"/>
                <w:szCs w:val="28"/>
                <w:lang w:val="en-US" w:eastAsia="zh-CN" w:bidi="ar"/>
              </w:rPr>
              <w:t>AfPS GS 2019:01 PAK</w:t>
            </w:r>
          </w:p>
        </w:tc>
        <w:tc>
          <w:tcPr>
            <w:tcW w:w="5882" w:type="dxa"/>
            <w:gridSpan w:val="3"/>
            <w:vAlign w:val="center"/>
          </w:tcPr>
          <w:p w14:paraId="0E603579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highlight w:val="green"/>
                <w:vertAlign w:val="baseline"/>
                <w:lang w:val="en-US" w:eastAsia="zh-CN"/>
              </w:rPr>
              <w:t>检测通过</w:t>
            </w:r>
          </w:p>
        </w:tc>
      </w:tr>
      <w:tr w14:paraId="6147A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227" w:type="dxa"/>
            <w:vAlign w:val="center"/>
          </w:tcPr>
          <w:p w14:paraId="237FF26A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086" w:type="dxa"/>
            <w:vAlign w:val="center"/>
          </w:tcPr>
          <w:p w14:paraId="18FB8788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1452" w:type="dxa"/>
            <w:vAlign w:val="center"/>
          </w:tcPr>
          <w:p w14:paraId="1F3C3D0C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N/A</w:t>
            </w:r>
          </w:p>
        </w:tc>
        <w:tc>
          <w:tcPr>
            <w:tcW w:w="1359" w:type="dxa"/>
            <w:vAlign w:val="center"/>
          </w:tcPr>
          <w:p w14:paraId="4C33A2CD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33.0~35.0</w:t>
            </w:r>
          </w:p>
        </w:tc>
        <w:tc>
          <w:tcPr>
            <w:tcW w:w="3071" w:type="dxa"/>
            <w:vAlign w:val="center"/>
          </w:tcPr>
          <w:p w14:paraId="58020347">
            <w:pPr>
              <w:numPr>
                <w:ilvl w:val="0"/>
                <w:numId w:val="0"/>
              </w:numPr>
              <w:jc w:val="center"/>
              <w:rPr>
                <w:rFonts w:hint="default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highlight w:val="green"/>
                <w:lang w:val="en-US" w:eastAsia="zh-CN" w:bidi="ar-SA"/>
              </w:rPr>
              <w:t>无限值</w:t>
            </w:r>
          </w:p>
        </w:tc>
      </w:tr>
      <w:tr w14:paraId="7DA8C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227" w:type="dxa"/>
            <w:shd w:val="clear" w:color="auto" w:fill="auto"/>
            <w:vAlign w:val="center"/>
          </w:tcPr>
          <w:p w14:paraId="72DF8CA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076FD47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7353792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4DF68C0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65.0~67.0</w:t>
            </w:r>
          </w:p>
        </w:tc>
        <w:tc>
          <w:tcPr>
            <w:tcW w:w="3071" w:type="dxa"/>
            <w:shd w:val="clear" w:color="auto" w:fill="auto"/>
            <w:vAlign w:val="center"/>
          </w:tcPr>
          <w:p w14:paraId="2BD915D7">
            <w:pPr>
              <w:numPr>
                <w:ilvl w:val="0"/>
                <w:numId w:val="0"/>
              </w:numPr>
              <w:jc w:val="center"/>
              <w:rPr>
                <w:rFonts w:hint="default" w:cs="Times New Roman" w:asciiTheme="minorHAnsi" w:hAnsiTheme="minorHAnsi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highlight w:val="green"/>
                <w:lang w:val="en-US" w:eastAsia="zh-CN" w:bidi="ar-SA"/>
              </w:rPr>
              <w:t>无限值</w:t>
            </w:r>
          </w:p>
        </w:tc>
      </w:tr>
    </w:tbl>
    <w:p w14:paraId="78E11A9F">
      <w:pPr>
        <w:numPr>
          <w:numId w:val="0"/>
        </w:numPr>
        <w:rPr>
          <w:rFonts w:hint="default"/>
          <w:b/>
          <w:bCs/>
          <w:sz w:val="32"/>
          <w:szCs w:val="40"/>
          <w:lang w:val="en-US" w:eastAsia="zh-CN"/>
        </w:rPr>
      </w:pPr>
    </w:p>
    <w:p w14:paraId="3873D948">
      <w:pPr>
        <w:numPr>
          <w:numId w:val="0"/>
        </w:numPr>
        <w:ind w:left="320" w:leftChars="0"/>
        <w:rPr>
          <w:rFonts w:hint="eastAsia" w:ascii="宋体" w:hAnsi="宋体" w:eastAsia="宋体" w:cs="宋体"/>
          <w:kern w:val="0"/>
          <w:sz w:val="19"/>
          <w:szCs w:val="19"/>
          <w:lang w:val="en-US" w:eastAsia="zh-CN" w:bidi="ar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 总结：</w:t>
      </w:r>
      <w:r>
        <w:rPr>
          <w:rFonts w:hint="eastAsia" w:ascii="宋体" w:hAnsi="宋体" w:eastAsia="宋体" w:cs="宋体"/>
          <w:kern w:val="0"/>
          <w:sz w:val="19"/>
          <w:szCs w:val="19"/>
          <w:lang w:val="en-US" w:eastAsia="zh-CN" w:bidi="ar"/>
        </w:rPr>
        <w:t>经过CAS对照粗检，产品PU-3011 所含物质不属于</w:t>
      </w:r>
      <w:r>
        <w:rPr>
          <w:rFonts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REACH SVHC 253项</w:t>
      </w:r>
      <w:r>
        <w:rPr>
          <w:rFonts w:hint="eastAsia"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、REACH Annex XVII、</w:t>
      </w:r>
      <w:r>
        <w:rPr>
          <w:rFonts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RoHS</w:t>
      </w:r>
      <w:r>
        <w:rPr>
          <w:rFonts w:hint="eastAsia"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、</w:t>
      </w:r>
      <w:r>
        <w:rPr>
          <w:rFonts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HSF 001</w:t>
      </w:r>
      <w:r>
        <w:rPr>
          <w:rFonts w:hint="eastAsia"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、</w:t>
      </w:r>
      <w:r>
        <w:rPr>
          <w:rFonts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BSBL</w:t>
      </w:r>
      <w:r>
        <w:rPr>
          <w:rFonts w:hint="eastAsia"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、</w:t>
      </w:r>
      <w:r>
        <w:rPr>
          <w:rFonts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>AfPS GS 2019:01 PAK</w:t>
      </w:r>
      <w:r>
        <w:rPr>
          <w:rFonts w:hint="eastAsia" w:ascii="宋体" w:hAnsi="宋体" w:eastAsia="宋体" w:cs="宋体"/>
          <w:b/>
          <w:bCs/>
          <w:color w:val="270561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19"/>
          <w:szCs w:val="19"/>
          <w:lang w:val="en-US" w:eastAsia="zh-CN" w:bidi="ar"/>
        </w:rPr>
        <w:t>物质限值清单且符合相关法律法规；</w:t>
      </w:r>
    </w:p>
    <w:p w14:paraId="724707D2">
      <w:pPr>
        <w:numPr>
          <w:numId w:val="0"/>
        </w:numPr>
        <w:ind w:left="320" w:leftChars="0"/>
        <w:rPr>
          <w:rFonts w:hint="eastAsia" w:ascii="宋体" w:hAnsi="宋体" w:eastAsia="宋体" w:cs="宋体"/>
          <w:kern w:val="0"/>
          <w:sz w:val="19"/>
          <w:szCs w:val="19"/>
          <w:lang w:val="en-US" w:eastAsia="zh-CN" w:bidi="ar"/>
        </w:rPr>
      </w:pPr>
    </w:p>
    <w:p w14:paraId="6607B9EF">
      <w:pPr>
        <w:numPr>
          <w:ilvl w:val="0"/>
          <w:numId w:val="1"/>
        </w:num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特殊说明：</w:t>
      </w:r>
    </w:p>
    <w:p w14:paraId="783C6A8D">
      <w:pPr>
        <w:numPr>
          <w:ilvl w:val="0"/>
          <w:numId w:val="3"/>
        </w:numPr>
        <w:ind w:left="320" w:leftChars="0" w:firstLine="0" w:firstLineChars="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双酚类化学品系列：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未添加且不含有；</w:t>
      </w:r>
    </w:p>
    <w:p w14:paraId="4C5CB89F">
      <w:pPr>
        <w:numPr>
          <w:ilvl w:val="0"/>
          <w:numId w:val="3"/>
        </w:numPr>
        <w:ind w:left="320" w:leftChars="0" w:firstLine="0" w:firstLineChars="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特殊邻苯二甲酸酯类增塑剂：</w:t>
      </w:r>
      <w:bookmarkStart w:id="0" w:name="_GoBack"/>
      <w:r>
        <w:rPr>
          <w:rFonts w:hint="eastAsia"/>
          <w:b w:val="0"/>
          <w:bCs w:val="0"/>
          <w:sz w:val="24"/>
          <w:szCs w:val="32"/>
          <w:lang w:val="en-US" w:eastAsia="zh-CN"/>
        </w:rPr>
        <w:t>未添加且不含有</w:t>
      </w:r>
    </w:p>
    <w:bookmarkEnd w:id="0"/>
    <w:p w14:paraId="193DD5CD">
      <w:pPr>
        <w:numPr>
          <w:numId w:val="0"/>
        </w:numPr>
        <w:rPr>
          <w:rFonts w:hint="default"/>
          <w:b/>
          <w:bCs/>
          <w:sz w:val="32"/>
          <w:szCs w:val="40"/>
          <w:lang w:val="en-US" w:eastAsia="zh-CN"/>
        </w:rPr>
      </w:pPr>
    </w:p>
    <w:sectPr>
      <w:headerReference r:id="rId3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F1CCC">
    <w:pPr>
      <w:pStyle w:val="3"/>
      <w:jc w:val="center"/>
      <w:rPr>
        <w:rFonts w:hint="eastAsia"/>
        <w:b/>
        <w:bCs/>
        <w:color w:val="0D0D0D" w:themeColor="text1" w:themeTint="F2"/>
        <w:sz w:val="40"/>
        <w:szCs w:val="56"/>
        <w:highlight w:val="none"/>
        <w:lang w:val="en-US" w:eastAsia="zh-CN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</w:pPr>
    <w:r>
      <w:rPr>
        <w:rFonts w:hint="eastAsia"/>
        <w:b/>
        <w:bCs/>
        <w:color w:val="0D0D0D" w:themeColor="text1" w:themeTint="F2"/>
        <w:sz w:val="40"/>
        <w:szCs w:val="56"/>
        <w:highlight w:val="none"/>
        <w:lang w:val="en-US" w:eastAsia="zh-CN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  <w:t>PU-3011 法律法规合格性粗检报告</w:t>
    </w:r>
  </w:p>
  <w:p w14:paraId="7333CE8F">
    <w:pPr>
      <w:pStyle w:val="3"/>
      <w:jc w:val="center"/>
      <w:rPr>
        <w:rFonts w:hint="default"/>
        <w:b/>
        <w:bCs/>
        <w:color w:val="91ACE0" w:themeColor="accent1" w:themeTint="99"/>
        <w:sz w:val="40"/>
        <w:szCs w:val="56"/>
        <w:highlight w:val="none"/>
        <w:lang w:val="en-US" w:eastAsia="zh-CN"/>
        <w14:textFill>
          <w14:solidFill>
            <w14:schemeClr w14:val="accent1">
              <w14:lumMod w14:val="60000"/>
              <w14:lumOff w14:val="40000"/>
            </w14:schemeClr>
          </w14:solidFill>
        </w14:textFill>
      </w:rPr>
    </w:pPr>
    <w:r>
      <w:rPr>
        <w:rFonts w:hint="eastAsia"/>
        <w:b/>
        <w:bCs/>
        <w:color w:val="91ACE0" w:themeColor="accent1" w:themeTint="99"/>
        <w:sz w:val="40"/>
        <w:szCs w:val="56"/>
        <w:highlight w:val="none"/>
        <w:lang w:val="en-US" w:eastAsia="zh-CN"/>
        <w14:textFill>
          <w14:solidFill>
            <w14:schemeClr w14:val="accent1">
              <w14:lumMod w14:val="60000"/>
              <w14:lumOff w14:val="40000"/>
            </w14:schemeClr>
          </w14:solidFill>
        </w14:textFill>
      </w:rPr>
      <w:t>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B5FC63"/>
    <w:multiLevelType w:val="singleLevel"/>
    <w:tmpl w:val="90B5FC6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20" w:leftChars="0" w:firstLine="0" w:firstLineChars="0"/>
      </w:pPr>
    </w:lvl>
  </w:abstractNum>
  <w:abstractNum w:abstractNumId="1">
    <w:nsid w:val="A3037443"/>
    <w:multiLevelType w:val="singleLevel"/>
    <w:tmpl w:val="A303744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20" w:leftChars="0" w:firstLine="0" w:firstLineChars="0"/>
      </w:pPr>
    </w:lvl>
  </w:abstractNum>
  <w:abstractNum w:abstractNumId="2">
    <w:nsid w:val="AC15A05D"/>
    <w:multiLevelType w:val="singleLevel"/>
    <w:tmpl w:val="AC15A05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EC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2026-09-18T05:52:40Z</dcterms:created>
  <dc:creator>Administrator</dc:creator>
  <cp:lastModifiedBy>陈子钦</cp:lastModifiedBy>
  <dcterms:modified xsi:type="dcterms:W3CDTF">2026-09-18T06:20:04Z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eyJoZGlkIjoiMGU0NzVjNDQ1NTM2YThmMjJkODA1NWYxODU0ZDMyMDUiLCJ1c2VySWQiOiIxNjgxODg1MTYwIn0=</vt:lpwstr>
  </property>
  <property fmtid="{D5CDD505-2E9C-101B-9397-08002B2CF9AE}" pid="4" name="ICV">
    <vt:lpwstr>F5402DDB9AB84E97A949B99A3F18D66E_12</vt:lpwstr>
  </property>
</Properties>
</file>