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0"/>
        <w:ind w:start="1360" w:end="0"/>
        <w:rPr>
          <w:rFonts w:ascii="宋体" w:hAnsi="宋体" w:cs="宋体"/>
          <w:b/>
          <w:sz w:val="28"/>
        </w:rPr>
      </w:pPr>
      <w:bookmarkStart w:id="0" w:name="page1"/>
      <w:bookmarkEnd w:id="0"/>
      <w:r>
        <w:rPr>
          <w:rFonts w:ascii="宋体" w:hAnsi="宋体" w:cs="宋体"/>
          <w:b/>
          <w:sz w:val="28"/>
        </w:rPr>
        <w:t>广州冠志新材料科技有限公司</w:t>
      </w:r>
    </w:p>
    <w:p>
      <w:pPr>
        <w:pStyle w:val="Normal"/>
        <w:spacing w:lineRule="exact" w:line="43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/>
          <w:b/>
          <w:sz w:val="24"/>
        </w:rPr>
      </w:r>
    </w:p>
    <w:p>
      <w:pPr>
        <w:pStyle w:val="Normal"/>
        <w:tabs>
          <w:tab w:val="clear" w:pos="720"/>
          <w:tab w:val="left" w:pos="3360" w:leader="none"/>
        </w:tabs>
        <w:spacing w:lineRule="atLeast" w:line="0"/>
        <w:ind w:start="1340" w:end="0"/>
        <w:rPr>
          <w:rFonts w:ascii="Times New Roman" w:hAnsi="Times New Roman" w:eastAsia="Times New Roman" w:cs="Times New Roman"/>
          <w:sz w:val="18"/>
        </w:rPr>
      </w:pPr>
      <w:r>
        <w:rPr>
          <w:rFonts w:ascii="宋体" w:hAnsi="宋体" w:cs="宋体"/>
          <w:sz w:val="18"/>
        </w:rPr>
        <w:t>电话：</w:t>
      </w:r>
      <w:r>
        <w:rPr>
          <w:rFonts w:eastAsia="Times New Roman" w:cs="Times New Roman"/>
          <w:sz w:val="18"/>
        </w:rPr>
        <w:t>020-82567990</w:t>
      </w:r>
      <w:r>
        <w:rPr>
          <w:rFonts w:eastAsia="Times New Roman" w:cs="Times New Roman"/>
        </w:rPr>
        <w:tab/>
      </w:r>
      <w:r>
        <w:rPr>
          <w:rFonts w:ascii="宋体" w:hAnsi="宋体" w:cs="宋体"/>
          <w:sz w:val="18"/>
        </w:rPr>
        <w:t>传真：</w:t>
      </w:r>
      <w:r>
        <w:rPr>
          <w:rFonts w:eastAsia="Times New Roman" w:cs="Times New Roman"/>
          <w:sz w:val="18"/>
        </w:rPr>
        <w:t>020-32214789</w:t>
      </w:r>
    </w:p>
    <w:p>
      <w:pPr>
        <w:pStyle w:val="Normal"/>
        <w:spacing w:lineRule="exact" w:line="14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/>
          <w:sz w:val="24"/>
        </w:rPr>
        <w:drawing>
          <wp:anchor distT="0" distB="0" distL="114935" distR="114935" simplePos="0" relativeHeight="3" behindDoc="0" locked="0" layoutInCell="0" allowOverlap="1">
            <wp:simplePos x="0" y="0"/>
            <wp:positionH relativeFrom="column">
              <wp:posOffset>-48895</wp:posOffset>
            </wp:positionH>
            <wp:positionV relativeFrom="paragraph">
              <wp:posOffset>-396875</wp:posOffset>
            </wp:positionV>
            <wp:extent cx="857250" cy="5334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2" t="-68" r="-42" b="-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0"/>
        <w:ind w:start="1340" w:end="0"/>
        <w:rPr>
          <w:rFonts w:ascii="宋体" w:hAnsi="宋体" w:cs="宋体"/>
          <w:sz w:val="18"/>
        </w:rPr>
      </w:pPr>
      <w:r>
        <w:rPr>
          <w:rFonts w:ascii="宋体" w:hAnsi="宋体" w:cs="宋体"/>
          <w:sz w:val="18"/>
        </w:rPr>
        <w:t xml:space="preserve">地址：广州市黄埔区科学城掬泉路 </w:t>
      </w:r>
      <w:r>
        <w:rPr>
          <w:rFonts w:eastAsia="Times New Roman" w:cs="Times New Roman"/>
          <w:sz w:val="18"/>
        </w:rPr>
        <w:t>3</w:t>
      </w:r>
      <w:r>
        <w:rPr>
          <w:rFonts w:cs="宋体" w:ascii="宋体" w:hAnsi="宋体"/>
          <w:sz w:val="18"/>
        </w:rPr>
        <w:t xml:space="preserve"> </w:t>
      </w:r>
      <w:r>
        <w:rPr>
          <w:rFonts w:ascii="宋体" w:hAnsi="宋体" w:cs="宋体"/>
          <w:sz w:val="18"/>
        </w:rPr>
        <w:t xml:space="preserve">号广州国际企业孵化器 </w:t>
      </w:r>
      <w:r>
        <w:rPr>
          <w:rFonts w:eastAsia="Times New Roman" w:cs="Times New Roman"/>
          <w:sz w:val="18"/>
        </w:rPr>
        <w:t>A</w:t>
      </w:r>
      <w:r>
        <w:rPr>
          <w:rFonts w:cs="宋体" w:ascii="宋体" w:hAnsi="宋体"/>
          <w:sz w:val="18"/>
        </w:rPr>
        <w:t xml:space="preserve"> </w:t>
      </w:r>
      <w:r>
        <w:rPr>
          <w:rFonts w:ascii="宋体" w:hAnsi="宋体" w:cs="宋体"/>
          <w:sz w:val="18"/>
        </w:rPr>
        <w:t xml:space="preserve">区 </w:t>
      </w:r>
      <w:r>
        <w:rPr>
          <w:rFonts w:eastAsia="Times New Roman" w:cs="Times New Roman"/>
          <w:sz w:val="18"/>
        </w:rPr>
        <w:t>1106</w:t>
      </w:r>
      <w:r>
        <w:rPr>
          <w:rFonts w:cs="宋体" w:ascii="宋体" w:hAnsi="宋体"/>
          <w:sz w:val="18"/>
        </w:rPr>
        <w:t xml:space="preserve"> </w:t>
      </w:r>
      <w:r>
        <w:rPr>
          <w:rFonts w:ascii="宋体" w:hAnsi="宋体" w:cs="宋体"/>
          <w:sz w:val="18"/>
        </w:rPr>
        <w:t>室</w:t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/>
          <w:sz w:val="24"/>
        </w:rPr>
        <mc:AlternateContent>
          <mc:Choice Requires="wps">
            <w:drawing>
              <wp:anchor distT="0" distB="0" distL="114935" distR="114935" simplePos="0" relativeHeight="2" behindDoc="1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166370</wp:posOffset>
                </wp:positionV>
                <wp:extent cx="6157595" cy="0"/>
                <wp:effectExtent l="0" t="4445" r="0" b="4445"/>
                <wp:wrapNone/>
                <wp:docPr id="2" name="直线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744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75pt,13.1pt" to="483.05pt,13.1pt" stroked="t" o:allowincell="f" style="position:absolute">
                <v:stroke color="black" weight="90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tLeast" w:line="0"/>
        <w:rPr>
          <w:rFonts w:ascii="Times New Roman" w:hAnsi="Times New Roman" w:cs="Times New Roman"/>
          <w:sz w:val="24"/>
        </w:rPr>
      </w:pPr>
      <w:r>
        <w:rPr>
          <w:rFonts w:eastAsia="Times New Roman" w:cs="Times New Roman"/>
          <w:sz w:val="24"/>
        </w:rPr>
      </w:r>
    </w:p>
    <w:p>
      <w:pPr>
        <w:pStyle w:val="Normal"/>
        <w:spacing w:lineRule="atLeast" w:line="0"/>
        <w:ind w:start="3020" w:end="0"/>
        <w:rPr>
          <w:rFonts w:ascii="Times New Roman" w:hAnsi="Times New Roman" w:cs="Times New Roman" w:hint="eastAsia"/>
          <w:b/>
          <w:sz w:val="32"/>
        </w:rPr>
      </w:pPr>
      <w:r>
        <w:rPr>
          <w:rFonts w:ascii="Times New Roman" w:hAnsi="Times New Roman" w:cs="Times New Roman" w:hint="eastAsia"/>
          <w:b/>
          <w:sz w:val="32"/>
        </w:rPr>
        <w:t>水性环氧分散体</w:t>
      </w:r>
      <w:r>
        <w:rPr>
          <w:rFonts w:cs="Times New Roman" w:hint="eastAsia"/>
          <w:b/>
          <w:sz w:val="32"/>
        </w:rPr>
        <w:t>EP-1704</w:t>
      </w:r>
    </w:p>
    <w:p>
      <w:pPr>
        <w:pStyle w:val="Normal"/>
        <w:spacing w:lineRule="exact" w:line="269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hint="eastAsia"/>
          <w:b/>
          <w:sz w:val="24"/>
        </w:rPr>
      </w:r>
    </w:p>
    <w:p>
      <w:pPr>
        <w:pStyle w:val="Normal"/>
        <w:spacing w:lineRule="atLeast" w:line="0"/>
        <w:rPr>
          <w:rFonts w:ascii="宋体" w:hAnsi="宋体" w:cs="宋体"/>
          <w:b/>
          <w:sz w:val="28"/>
        </w:rPr>
      </w:pPr>
      <w:r>
        <w:rPr>
          <w:rFonts w:ascii="宋体" w:hAnsi="宋体" w:cs="宋体"/>
          <w:b/>
          <w:sz w:val="28"/>
        </w:rPr>
        <w:t>【产品描述】</w:t>
      </w:r>
    </w:p>
    <w:p>
      <w:pPr>
        <w:pStyle w:val="Normal"/>
        <w:spacing w:lineRule="atLeast" w:line="0"/>
        <w:rPr>
          <w:rFonts w:ascii="宋体" w:hAnsi="宋体" w:cs="宋体"/>
          <w:b/>
          <w:sz w:val="13"/>
          <w:szCs w:val="6"/>
        </w:rPr>
      </w:pPr>
      <w:r>
        <w:rPr>
          <w:rFonts w:cs="宋体" w:ascii="宋体" w:hAnsi="宋体"/>
          <w:b/>
          <w:sz w:val="13"/>
          <w:szCs w:val="6"/>
        </w:rPr>
      </w:r>
    </w:p>
    <w:p>
      <w:pPr>
        <w:pStyle w:val="Normal"/>
        <w:spacing w:lineRule="auto" w:line="324"/>
        <w:ind w:firstLineChars="200" w:startChars="0" w:start="0" w:endChars="0" w:end="0"/>
        <w:rPr>
          <w:rFonts w:ascii="宋体" w:hAnsi="宋体" w:cs="宋体" w:hint="eastAsia"/>
          <w:sz w:val="6"/>
          <w:szCs w:val="6"/>
        </w:rPr>
      </w:pPr>
      <w:r>
        <w:rPr>
          <w:rFonts w:cs="宋体" w:hint="eastAsia" w:ascii="宋体" w:hAnsi="宋体"/>
          <w:sz w:val="24"/>
        </w:rPr>
        <w:t>EP-1704</w:t>
      </w:r>
      <w:r>
        <w:rPr>
          <w:rFonts w:ascii="宋体" w:hAnsi="宋体" w:cs="宋体" w:hint="eastAsia"/>
          <w:sz w:val="24"/>
        </w:rPr>
        <w:t>是</w:t>
      </w:r>
      <w:r>
        <w:rPr>
          <w:rFonts w:cs="宋体" w:hint="eastAsia" w:ascii="宋体" w:hAnsi="宋体"/>
          <w:sz w:val="24"/>
        </w:rPr>
        <w:t>E20</w:t>
      </w:r>
      <w:r>
        <w:rPr>
          <w:rFonts w:ascii="宋体" w:hAnsi="宋体" w:cs="宋体" w:hint="eastAsia"/>
          <w:sz w:val="24"/>
        </w:rPr>
        <w:t>环氧树脂的水分散体，特别适用于水性金属防锈底漆。</w:t>
      </w:r>
    </w:p>
    <w:p>
      <w:pPr>
        <w:pStyle w:val="Normal"/>
        <w:spacing w:lineRule="atLeast" w:line="0"/>
        <w:rPr>
          <w:rFonts w:ascii="宋体" w:hAnsi="宋体" w:eastAsia="宋体" w:cs="Times New Roman"/>
          <w:b/>
          <w:sz w:val="28"/>
        </w:rPr>
      </w:pPr>
      <w:r>
        <w:rPr>
          <w:rFonts w:ascii="宋体" w:hAnsi="宋体" w:cs="Times New Roman"/>
          <w:b/>
          <w:sz w:val="28"/>
        </w:rPr>
        <w:t>【供应形式】</w:t>
      </w:r>
    </w:p>
    <w:p>
      <w:pPr>
        <w:pStyle w:val="Normal"/>
        <w:spacing w:lineRule="atLeast" w:line="0"/>
        <w:rPr>
          <w:rFonts w:ascii="宋体" w:hAnsi="宋体" w:cs="宋体"/>
          <w:b/>
          <w:sz w:val="13"/>
          <w:szCs w:val="6"/>
        </w:rPr>
      </w:pPr>
      <w:r>
        <w:rPr>
          <w:rFonts w:eastAsia="宋体" w:cs="宋体" w:ascii="宋体" w:hAnsi="宋体"/>
          <w:b/>
          <w:sz w:val="13"/>
          <w:szCs w:val="6"/>
        </w:rPr>
      </w:r>
    </w:p>
    <w:p>
      <w:pPr>
        <w:pStyle w:val="Normal"/>
        <w:spacing w:lineRule="auto" w:line="324"/>
        <w:ind w:firstLineChars="200" w:startChars="0" w:start="0" w:endChars="0" w:end="0"/>
        <w:rPr>
          <w:rFonts w:ascii="宋体" w:hAnsi="宋体" w:cs="宋体" w:hint="eastAsia"/>
          <w:sz w:val="36"/>
          <w:szCs w:val="24"/>
        </w:rPr>
      </w:pPr>
      <w:r>
        <w:rPr>
          <w:rFonts w:ascii="宋体" w:hAnsi="宋体" w:cs="宋体"/>
          <w:sz w:val="24"/>
          <w:szCs w:val="24"/>
        </w:rPr>
        <w:t xml:space="preserve">约 </w:t>
      </w:r>
      <w:r>
        <w:rPr>
          <w:rFonts w:eastAsia="宋体" w:cs="宋体" w:ascii="宋体" w:hAnsi="宋体"/>
          <w:sz w:val="24"/>
          <w:szCs w:val="24"/>
        </w:rPr>
        <w:t xml:space="preserve">22% </w:t>
      </w:r>
      <w:r>
        <w:rPr>
          <w:rFonts w:ascii="宋体" w:hAnsi="宋体" w:cs="宋体"/>
          <w:sz w:val="24"/>
          <w:szCs w:val="24"/>
        </w:rPr>
        <w:t>固含水分散体</w:t>
      </w:r>
      <w:r>
        <w:rPr>
          <w:rFonts w:ascii="宋体" w:hAnsi="宋体" w:cs="宋体" w:hint="eastAsia"/>
          <w:sz w:val="24"/>
        </w:rPr>
        <w:t>。</w:t>
      </w:r>
    </w:p>
    <w:p>
      <w:pPr>
        <w:pStyle w:val="Normal"/>
        <w:spacing w:lineRule="exact" w:line="103"/>
        <w:rPr>
          <w:rFonts w:ascii="Times New Roman" w:hAnsi="Times New Roman" w:eastAsia="Times New Roman" w:cs="Times New Roman"/>
          <w:sz w:val="96"/>
          <w:szCs w:val="96"/>
        </w:rPr>
      </w:pPr>
      <w:r>
        <w:rPr>
          <w:rFonts w:eastAsia="Times New Roman" w:cs="Times New Roman" w:hint="eastAsia"/>
          <w:sz w:val="96"/>
          <w:szCs w:val="96"/>
        </w:rPr>
      </w:r>
    </w:p>
    <w:p>
      <w:pPr>
        <w:pStyle w:val="Normal"/>
        <w:spacing w:lineRule="atLeast" w:line="0"/>
        <w:rPr>
          <w:rFonts w:ascii="宋体" w:hAnsi="宋体" w:cs="宋体"/>
          <w:b/>
          <w:sz w:val="28"/>
        </w:rPr>
      </w:pPr>
      <w:r>
        <w:rPr>
          <w:rFonts w:ascii="宋体" w:hAnsi="宋体" w:cs="宋体"/>
          <w:b/>
          <w:sz w:val="28"/>
        </w:rPr>
        <w:t>【性能指标】</w:t>
      </w:r>
    </w:p>
    <w:p>
      <w:pPr>
        <w:pStyle w:val="Normal"/>
        <w:spacing w:lineRule="exact" w:line="213"/>
        <w:rPr>
          <w:rFonts w:ascii="Times New Roman" w:hAnsi="Times New Roman" w:eastAsia="Times New Roman" w:cs="Times New Roman"/>
          <w:sz w:val="144"/>
          <w:szCs w:val="72"/>
        </w:rPr>
      </w:pPr>
      <w:r>
        <w:rPr>
          <w:rFonts w:eastAsia="Times New Roman" w:cs="Times New Roman"/>
          <w:b/>
          <w:sz w:val="144"/>
          <w:szCs w:val="72"/>
        </w:rPr>
      </w:r>
    </w:p>
    <w:tbl>
      <w:tblPr>
        <w:tblW w:w="4400" w:type="pct"/>
        <w:jc w:val="start"/>
        <w:tblInd w:w="47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40"/>
        <w:gridCol w:w="2035"/>
        <w:gridCol w:w="1022"/>
        <w:gridCol w:w="3191"/>
      </w:tblGrid>
      <w:tr>
        <w:trPr>
          <w:trHeight w:val="274" w:hRule="atLeast"/>
        </w:trPr>
        <w:tc>
          <w:tcPr>
            <w:tcW w:w="2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宋体" w:hAnsi="宋体" w:eastAsia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项目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cs="宋体"/>
                <w:color w:val="000000"/>
                <w:kern w:val="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指标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测试方法</w:t>
            </w:r>
          </w:p>
        </w:tc>
      </w:tr>
      <w:tr>
        <w:trPr>
          <w:trHeight w:val="428" w:hRule="atLeast"/>
        </w:trPr>
        <w:tc>
          <w:tcPr>
            <w:tcW w:w="2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乳液</w:t>
            </w:r>
            <w:r>
              <w:rPr>
                <w:rFonts w:cs="宋体"/>
                <w:color w:val="000000"/>
                <w:kern w:val="0"/>
                <w:sz w:val="24"/>
                <w:szCs w:val="24"/>
              </w:rPr>
              <w:t>外观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乳白色液体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375"/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cs="Times New Roman" w:hint="eastAsia"/>
                <w:sz w:val="24"/>
              </w:rPr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目测</w:t>
            </w:r>
          </w:p>
        </w:tc>
      </w:tr>
      <w:tr>
        <w:trPr>
          <w:trHeight w:val="390" w:hRule="atLeast"/>
        </w:trPr>
        <w:tc>
          <w:tcPr>
            <w:tcW w:w="2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环氧当量（</w:t>
            </w: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EEW</w:t>
            </w: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900-1100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g/mol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375"/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cs="Times New Roman" w:hint="eastAsia"/>
                <w:sz w:val="24"/>
              </w:rPr>
            </w:r>
          </w:p>
        </w:tc>
      </w:tr>
      <w:tr>
        <w:trPr>
          <w:trHeight w:val="390" w:hRule="atLeast"/>
        </w:trPr>
        <w:tc>
          <w:tcPr>
            <w:tcW w:w="2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/>
                <w:color w:val="000000"/>
                <w:kern w:val="0"/>
                <w:sz w:val="24"/>
                <w:szCs w:val="24"/>
              </w:rPr>
              <w:t>固</w:t>
            </w: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含量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53±2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cs="宋体"/>
                <w:color w:val="000000"/>
                <w:kern w:val="0"/>
                <w:sz w:val="24"/>
                <w:szCs w:val="24"/>
              </w:rPr>
              <w:t>%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150℃30min</w:t>
            </w: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，鼓风烘箱</w:t>
            </w:r>
          </w:p>
        </w:tc>
      </w:tr>
      <w:tr>
        <w:trPr>
          <w:trHeight w:val="390" w:hRule="atLeast"/>
        </w:trPr>
        <w:tc>
          <w:tcPr>
            <w:tcW w:w="2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PH</w:t>
            </w: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值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cs="Times New Roman"/>
                <w:color w:val="000000"/>
                <w:kern w:val="0"/>
                <w:sz w:val="24"/>
                <w:szCs w:val="24"/>
              </w:rPr>
              <w:t>25℃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6.0-8.0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375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GB/T 6920-1986</w:t>
            </w:r>
          </w:p>
        </w:tc>
      </w:tr>
      <w:tr>
        <w:trPr>
          <w:trHeight w:val="390" w:hRule="atLeast"/>
        </w:trPr>
        <w:tc>
          <w:tcPr>
            <w:tcW w:w="2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粘度（</w:t>
            </w: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25℃</w:t>
            </w: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200-5000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mPa·s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/>
                <w:color w:val="000000"/>
                <w:kern w:val="0"/>
                <w:sz w:val="24"/>
                <w:szCs w:val="24"/>
              </w:rPr>
              <w:t>GB/T 2794-2013</w:t>
            </w:r>
          </w:p>
        </w:tc>
      </w:tr>
    </w:tbl>
    <w:p>
      <w:pPr>
        <w:pStyle w:val="Normal"/>
        <w:spacing w:lineRule="exact" w:line="207"/>
        <w:rPr>
          <w:rFonts w:ascii="Times New Roman" w:hAnsi="Times New Roman" w:eastAsia="宋体" w:cs="Times New Roman" w:hint="eastAsia"/>
          <w:sz w:val="16"/>
          <w:szCs w:val="11"/>
        </w:rPr>
      </w:pPr>
      <w:r>
        <w:rPr>
          <w:rFonts w:eastAsia="宋体" w:cs="Times New Roman" w:hint="eastAsia"/>
          <w:sz w:val="16"/>
          <w:szCs w:val="11"/>
        </w:rPr>
      </w:r>
    </w:p>
    <w:p>
      <w:pPr>
        <w:pStyle w:val="Normal"/>
        <w:spacing w:lineRule="atLeast" w:line="0"/>
        <w:rPr>
          <w:rFonts w:ascii="宋体" w:hAnsi="宋体" w:cs="宋体"/>
          <w:b/>
          <w:sz w:val="28"/>
        </w:rPr>
      </w:pPr>
      <w:r>
        <w:rPr>
          <w:rFonts w:ascii="宋体" w:hAnsi="宋体" w:cs="宋体"/>
          <w:b/>
          <w:sz w:val="28"/>
        </w:rPr>
        <w:t>【产品特性】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840" w:leader="none"/>
        </w:tabs>
        <w:spacing w:lineRule="atLeast" w:line="0"/>
        <w:ind w:firstLineChars="0" w:firstLine="0" w:startChars="0" w:start="0" w:endChars="0" w:end="0"/>
        <w:jc w:val="both"/>
        <w:rPr>
          <w:rFonts w:ascii="宋体" w:hAnsi="宋体" w:eastAsia="宋体" w:cs="Times New Roman" w:hint="eastAsia"/>
          <w:sz w:val="11"/>
          <w:szCs w:val="6"/>
        </w:rPr>
      </w:pPr>
      <w:r>
        <w:rPr>
          <w:rFonts w:eastAsia="宋体" w:cs="Times New Roman" w:hint="eastAsia" w:ascii="宋体" w:hAnsi="宋体"/>
          <w:b/>
          <w:sz w:val="11"/>
          <w:szCs w:val="6"/>
        </w:rPr>
      </w:r>
    </w:p>
    <w:p>
      <w:pPr>
        <w:pStyle w:val="Normal"/>
        <w:numPr>
          <w:ilvl w:val="0"/>
          <w:numId w:val="1"/>
        </w:numPr>
        <w:spacing w:lineRule="atLeast" w:line="0"/>
        <w:ind w:left="840" w:hanging="360"/>
        <w:jc w:val="both"/>
        <w:rPr>
          <w:rFonts w:ascii="宋体" w:hAnsi="宋体" w:eastAsia="宋体" w:cs="Times New Roman" w:hint="eastAsia"/>
          <w:sz w:val="24"/>
        </w:rPr>
        <w:tabs>
          <w:tab w:val="left" w:pos="840"/>
        </w:tabs>
      </w:pPr>
      <w:r>
        <w:rPr>
          <w:rFonts w:ascii="宋体" w:hAnsi="宋体" w:cs="Times New Roman" w:hint="eastAsia"/>
          <w:sz w:val="24"/>
        </w:rPr>
        <w:t>自乳化固体环氧，储存稳定性佳，储存过程粘度稳定；</w:t>
      </w:r>
    </w:p>
    <w:p>
      <w:pPr>
        <w:pStyle w:val="Normal"/>
        <w:numPr>
          <w:ilvl w:val="0"/>
          <w:numId w:val="1"/>
        </w:numPr>
        <w:spacing w:lineRule="atLeast" w:line="0"/>
        <w:ind w:left="840" w:hanging="360"/>
        <w:jc w:val="both"/>
        <w:rPr>
          <w:rFonts w:ascii="宋体" w:hAnsi="宋体" w:eastAsia="宋体" w:cs="Times New Roman" w:hint="eastAsia"/>
          <w:sz w:val="24"/>
        </w:rPr>
        <w:tabs>
          <w:tab w:val="left" w:pos="840"/>
        </w:tabs>
      </w:pPr>
      <w:r>
        <w:rPr>
          <w:rFonts w:ascii="宋体" w:hAnsi="宋体" w:cs="Times New Roman" w:hint="eastAsia"/>
          <w:sz w:val="24"/>
        </w:rPr>
        <w:t>对配方设计的容忍度高，可直接用于色浆研磨；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840" w:leader="none"/>
        </w:tabs>
        <w:spacing w:lineRule="atLeast" w:line="0"/>
        <w:ind w:hanging="0" w:start="0"/>
        <w:jc w:val="both"/>
        <w:rPr>
          <w:rFonts w:ascii="宋体" w:hAnsi="宋体" w:cs="宋体"/>
          <w:b/>
          <w:sz w:val="28"/>
        </w:rPr>
      </w:pPr>
      <w:r>
        <w:rPr>
          <w:rFonts w:eastAsia="宋体" w:cs="宋体" w:hint="eastAsia" w:ascii="宋体" w:hAnsi="宋体"/>
          <w:b/>
          <w:sz w:val="28"/>
        </w:rPr>
      </w:r>
    </w:p>
    <w:p>
      <w:pPr>
        <w:pStyle w:val="Normal"/>
        <w:spacing w:lineRule="atLeast" w:line="0"/>
        <w:rPr>
          <w:rFonts w:ascii="宋体" w:hAnsi="宋体" w:cs="宋体"/>
          <w:b/>
          <w:sz w:val="28"/>
        </w:rPr>
      </w:pPr>
      <w:r>
        <w:rPr>
          <w:rFonts w:ascii="宋体" w:hAnsi="宋体" w:cs="宋体"/>
          <w:b/>
          <w:sz w:val="28"/>
        </w:rPr>
        <w:t>【应用】</w:t>
      </w:r>
    </w:p>
    <w:p>
      <w:pPr>
        <w:pStyle w:val="Normal"/>
        <w:spacing w:lineRule="atLeast" w:line="0"/>
        <w:rPr>
          <w:rFonts w:ascii="宋体" w:hAnsi="宋体" w:cs="宋体"/>
          <w:b/>
          <w:sz w:val="13"/>
          <w:szCs w:val="6"/>
        </w:rPr>
      </w:pPr>
      <w:r>
        <w:rPr>
          <w:rFonts w:cs="宋体" w:ascii="宋体" w:hAnsi="宋体"/>
          <w:b/>
          <w:sz w:val="13"/>
          <w:szCs w:val="6"/>
        </w:rPr>
      </w:r>
    </w:p>
    <w:p>
      <w:pPr>
        <w:pStyle w:val="Normal"/>
        <w:spacing w:lineRule="atLeast" w:line="0"/>
        <w:ind w:firstLineChars="200" w:startChars="0" w:start="0" w:endChars="0" w:end="0"/>
        <w:rPr>
          <w:rFonts w:ascii="宋体" w:hAnsi="宋体" w:cs="宋体"/>
          <w:sz w:val="24"/>
        </w:rPr>
      </w:pPr>
      <w:r>
        <w:rPr>
          <w:rFonts w:eastAsia="宋体" w:cs="Times New Roman" w:hint="eastAsia" w:ascii="宋体" w:hAnsi="宋体"/>
          <w:sz w:val="24"/>
        </w:rPr>
        <w:t>EP-1704</w:t>
      </w:r>
      <w:r>
        <w:rPr>
          <w:rFonts w:ascii="宋体" w:hAnsi="宋体" w:cs="Times New Roman" w:hint="eastAsia"/>
          <w:sz w:val="24"/>
        </w:rPr>
        <w:t>对多数金属底材都具备优异的附着力，适合制备防锈底漆与防护涂料；为获得更出色的防腐效果，一般建议固化剂添加量为化学理论计算量的</w:t>
      </w:r>
      <w:r>
        <w:rPr>
          <w:rFonts w:eastAsia="宋体" w:cs="Times New Roman" w:hint="eastAsia" w:ascii="宋体" w:hAnsi="宋体"/>
          <w:sz w:val="24"/>
        </w:rPr>
        <w:t>85±5%</w:t>
      </w:r>
      <w:r>
        <w:rPr>
          <w:rFonts w:ascii="宋体" w:hAnsi="宋体" w:cs="Times New Roman" w:hint="eastAsia"/>
          <w:sz w:val="24"/>
        </w:rPr>
        <w:t>。</w:t>
      </w:r>
    </w:p>
    <w:p>
      <w:pPr>
        <w:pStyle w:val="Normal"/>
        <w:spacing w:lineRule="exact" w:line="19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/>
          <w:sz w:val="24"/>
        </w:rPr>
      </w:r>
    </w:p>
    <w:p>
      <w:pPr>
        <w:pStyle w:val="Normal"/>
        <w:spacing w:lineRule="exact" w:line="19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/>
          <w:sz w:val="24"/>
        </w:rPr>
      </w:r>
    </w:p>
    <w:p>
      <w:pPr>
        <w:pStyle w:val="Normal"/>
        <w:spacing w:lineRule="atLeast" w:line="0"/>
        <w:rPr>
          <w:rFonts w:ascii="宋体" w:hAnsi="宋体" w:cs="宋体"/>
          <w:b/>
          <w:sz w:val="28"/>
        </w:rPr>
      </w:pPr>
      <w:r>
        <w:rPr>
          <w:rFonts w:ascii="宋体" w:hAnsi="宋体" w:cs="宋体"/>
          <w:b/>
          <w:sz w:val="28"/>
        </w:rPr>
        <w:t>【储存】</w:t>
      </w:r>
    </w:p>
    <w:p>
      <w:pPr>
        <w:pStyle w:val="Normal"/>
        <w:spacing w:lineRule="atLeast" w:line="0"/>
        <w:rPr>
          <w:rFonts w:ascii="宋体" w:hAnsi="宋体" w:cs="宋体"/>
          <w:b/>
          <w:sz w:val="13"/>
          <w:szCs w:val="6"/>
        </w:rPr>
      </w:pPr>
      <w:r>
        <w:rPr>
          <w:rFonts w:cs="宋体" w:ascii="宋体" w:hAnsi="宋体"/>
          <w:b/>
          <w:sz w:val="13"/>
          <w:szCs w:val="6"/>
        </w:rPr>
      </w:r>
    </w:p>
    <w:p>
      <w:pPr>
        <w:pStyle w:val="Normal"/>
        <w:spacing w:lineRule="auto" w:line="324"/>
        <w:ind w:firstLineChars="200" w:startChars="0" w:start="0" w:endChars="0" w:end="0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hint="eastAsia"/>
          <w:sz w:val="24"/>
        </w:rPr>
        <w:t>EP-1704</w:t>
      </w:r>
      <w:r>
        <w:rPr>
          <w:rFonts w:ascii="Times New Roman" w:hAnsi="Times New Roman" w:cs="Times New Roman"/>
          <w:sz w:val="24"/>
        </w:rPr>
        <w:t>水性</w:t>
      </w:r>
      <w:r>
        <w:rPr>
          <w:rFonts w:ascii="Times New Roman" w:hAnsi="Times New Roman" w:cs="Times New Roman" w:hint="eastAsia"/>
          <w:sz w:val="24"/>
        </w:rPr>
        <w:t>环氧分散体</w:t>
      </w:r>
      <w:r>
        <w:rPr>
          <w:rFonts w:ascii="Times New Roman" w:hAnsi="Times New Roman" w:cs="Times New Roman"/>
          <w:sz w:val="24"/>
        </w:rPr>
        <w:t>须</w:t>
      </w:r>
      <w:r>
        <w:rPr>
          <w:rFonts w:ascii="Times New Roman" w:hAnsi="Times New Roman" w:cs="Times New Roman" w:hint="eastAsia"/>
          <w:sz w:val="24"/>
        </w:rPr>
        <w:t>密封保存</w:t>
      </w:r>
      <w:r>
        <w:rPr>
          <w:rFonts w:ascii="Times New Roman" w:hAnsi="Times New Roman" w:cs="Times New Roman"/>
          <w:sz w:val="24"/>
        </w:rPr>
        <w:t>。建议储存在</w:t>
      </w:r>
      <w:r>
        <w:rPr>
          <w:rFonts w:eastAsia="宋体" w:cs="Times New Roman"/>
          <w:sz w:val="24"/>
        </w:rPr>
        <w:t>5-</w:t>
      </w:r>
      <w:r>
        <w:rPr>
          <w:rFonts w:eastAsia="宋体" w:cs="Times New Roman" w:hint="eastAsia"/>
          <w:sz w:val="24"/>
        </w:rPr>
        <w:t>35</w:t>
      </w:r>
      <w:r>
        <w:rPr>
          <w:rFonts w:ascii="Times New Roman" w:hAnsi="Times New Roman" w:cs="Times New Roman" w:hint="eastAsia"/>
          <w:sz w:val="24"/>
        </w:rPr>
        <w:t>摄氏</w:t>
      </w:r>
      <w:r>
        <w:rPr>
          <w:rFonts w:ascii="Times New Roman" w:hAnsi="Times New Roman" w:cs="Times New Roman"/>
          <w:sz w:val="24"/>
        </w:rPr>
        <w:t>度条件下储存，</w:t>
      </w:r>
      <w:r>
        <w:rPr>
          <w:rFonts w:ascii="Times New Roman" w:hAnsi="Times New Roman" w:cs="Times New Roman" w:hint="eastAsia"/>
          <w:sz w:val="24"/>
        </w:rPr>
        <w:t>严禁</w:t>
      </w:r>
      <w:r>
        <w:rPr>
          <w:rFonts w:ascii="Times New Roman" w:hAnsi="Times New Roman" w:cs="Times New Roman"/>
          <w:sz w:val="24"/>
        </w:rPr>
        <w:t>冰冻。</w:t>
      </w:r>
      <w:r>
        <w:rPr>
          <w:rFonts w:ascii="Times New Roman" w:hAnsi="Times New Roman" w:cs="Times New Roman" w:hint="eastAsia"/>
          <w:sz w:val="24"/>
        </w:rPr>
        <w:t>勿与油漆类相混。本产品自发货之日起保质期为</w:t>
      </w:r>
      <w:r>
        <w:rPr>
          <w:rFonts w:eastAsia="宋体" w:cs="Times New Roman" w:hint="eastAsia"/>
          <w:sz w:val="24"/>
        </w:rPr>
        <w:t>6</w:t>
      </w:r>
      <w:r>
        <w:rPr>
          <w:rFonts w:ascii="Times New Roman" w:hAnsi="Times New Roman" w:cs="Times New Roman" w:hint="eastAsia"/>
          <w:sz w:val="24"/>
        </w:rPr>
        <w:t>个月，但不代表超过</w:t>
      </w:r>
      <w:r>
        <w:rPr>
          <w:rFonts w:eastAsia="宋体" w:cs="Times New Roman" w:hint="eastAsia"/>
          <w:sz w:val="24"/>
        </w:rPr>
        <w:t>6</w:t>
      </w:r>
      <w:r>
        <w:rPr>
          <w:rFonts w:ascii="Times New Roman" w:hAnsi="Times New Roman" w:cs="Times New Roman" w:hint="eastAsia"/>
          <w:sz w:val="24"/>
        </w:rPr>
        <w:t>个月无法使用，建议使用前进行产品性能评估，以确保使用安全。</w:t>
      </w:r>
    </w:p>
    <w:p>
      <w:pPr>
        <w:pStyle w:val="Normal"/>
        <w:spacing w:lineRule="atLeast" w:line="0"/>
        <w:ind w:start="480" w:end="0"/>
        <w:rPr>
          <w:rFonts w:ascii="宋体" w:hAnsi="宋体" w:cs="宋体"/>
          <w:sz w:val="24"/>
        </w:rPr>
      </w:pPr>
      <w:r>
        <w:rPr>
          <w:rFonts w:eastAsia="宋体" w:cs="宋体" w:ascii="宋体" w:hAnsi="宋体"/>
          <w:sz w:val="24"/>
        </w:rPr>
      </w:r>
    </w:p>
    <w:sectPr>
      <w:type w:val="nextPage"/>
      <w:pgSz w:w="11906" w:h="16838"/>
      <w:pgMar w:left="1140" w:right="1120" w:gutter="0" w:header="0" w:top="852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Courier New">
    <w:charset w:val="01"/>
    <w:family w:val="moder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WFmODNlYzJiYzNlNTJmMjNkNTYyNzI0OTNkNjNjYzUifQ=="/>
    <w:docVar w:name="KSO_WPS_MARK_KEY" w:val="2c3153f3-9f71-4ab4-9e23-6c8d3c59662f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宋体" w:cs="Times New Roman"/>
      <w:color w:val="auto"/>
      <w:sz w:val="20"/>
      <w:szCs w:val="20"/>
      <w:lang w:bidi="ar-SA" w:val="en-US" w:eastAsia="zh-CN"/>
    </w:rPr>
  </w:style>
  <w:style w:type="character" w:styleId="Style14">
    <w:name w:val="默认段落字体"/>
    <w:rPr/>
  </w:style>
  <w:style w:type="character" w:styleId="Style15">
    <w:name w:val="页脚 字符"/>
    <w:rPr>
      <w:sz w:val="18"/>
      <w:szCs w:val="18"/>
    </w:rPr>
  </w:style>
  <w:style w:type="character" w:styleId="Style16">
    <w:name w:val="页眉 字符"/>
    <w:rPr>
      <w:sz w:val="18"/>
      <w:szCs w:val="18"/>
    </w:rPr>
  </w:style>
  <w:style w:type="character" w:styleId="HTML">
    <w:name w:val="HTML 代码"/>
    <w:basedOn w:val="Style14"/>
    <w:rPr>
      <w:rFonts w:ascii="Courier New" w:hAnsi="Courier New" w:cs="Courier New"/>
      <w:sz w:val="20"/>
    </w:rPr>
  </w:style>
  <w:style w:type="paragraph" w:styleId="Style17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索引"/>
    <w:basedOn w:val="Normal"/>
    <w:pPr>
      <w:suppressLineNumbers/>
    </w:pPr>
    <w:rPr>
      <w:rFonts w:cs="Arial"/>
    </w:rPr>
  </w:style>
  <w:style w:type="paragraph" w:styleId="Style19">
    <w:name w:val="页眉与页脚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0">
    <w:name w:val="列表段落"/>
    <w:basedOn w:val="Normal"/>
    <w:pPr>
      <w:ind w:firstLineChars="200" w:startChars="0" w:start="0" w:endChars="0" w:end="0"/>
    </w:pPr>
    <w:rPr/>
  </w:style>
  <w:style w:type="paragraph" w:styleId="Style21">
    <w:name w:val="表格内容"/>
    <w:basedOn w:val="Normal"/>
    <w:pPr>
      <w:widowControl w:val="false"/>
      <w:suppressLineNumbers/>
    </w:pPr>
    <w:rPr/>
  </w:style>
  <w:style w:type="paragraph" w:styleId="Style22">
    <w:name w:val="表格标题"/>
    <w:basedOn w:val="Style21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2021-08-28T10:35:00Z</dcterms:created>
  <dc:creator>雨林永存</dc:creator>
  <dc:description/>
  <dc:language>zh-CN</dc:language>
  <cp:lastModifiedBy>陈子钦</cp:lastModifiedBy>
  <cp:lastPrinted>2022-04-01T10:10:00Z</cp:lastPrinted>
  <dcterms:modified xsi:type="dcterms:W3CDTF">2026-09-04T17:29:52Z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1495CC035AC1451997E4FF11078063A1_13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