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eastAsia="微软雅黑" w:cs="微软雅黑" w:ascii="微软雅黑" w:hAnsi="微软雅黑"/>
          <w:b/>
          <w:sz w:val="24"/>
          <w:szCs w:val="24"/>
        </w:rPr>
        <w:t>Guangzhou</w:t>
      </w:r>
      <w:r>
        <w:rPr>
          <w:rFonts w:eastAsia="微软雅黑" w:cs="微软雅黑" w:hint="eastAsia" w:ascii="微软雅黑" w:hAnsi="微软雅黑"/>
          <w:b/>
          <w:sz w:val="24"/>
          <w:szCs w:val="24"/>
        </w:rPr>
        <w:t xml:space="preserve"> Guanzhi New Material Technology Limited Company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Tel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eastAsia="微软雅黑" w:cs="Times New Roman" w:hint="eastAsia" w:ascii="微软雅黑" w:hAnsi="微软雅黑"/>
          <w:sz w:val="18"/>
        </w:rPr>
        <w:t>Fax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 w:hint="eastAsia"/>
          <w:sz w:val="18"/>
        </w:rPr>
      </w:pPr>
      <w:r>
        <w:rPr>
          <w:rFonts w:eastAsia="微软雅黑" w:cs="Times New Roman" w:hint="eastAsia" w:ascii="微软雅黑" w:hAnsi="微软雅黑"/>
          <w:sz w:val="18"/>
        </w:rPr>
        <w:t>Address</w:t>
      </w:r>
      <w:r>
        <w:rPr>
          <w:rFonts w:ascii="微软雅黑" w:hAnsi="微软雅黑" w:cs="Times New Roman" w:hint="eastAsia" w:eastAsia="微软雅黑"/>
          <w:sz w:val="18"/>
        </w:rPr>
        <w:t>：</w:t>
      </w:r>
      <w:r>
        <w:rPr>
          <w:rFonts w:eastAsia="Times New Roman" w:cs="Times New Roman" w:hint="eastAsia"/>
          <w:sz w:val="18"/>
        </w:rPr>
        <w:t>Room 1106, Block A of Guangzhou International Business Incubator, No. 3 Juquan Road, Huangpu District, Guangzhou City</w:t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rPr>
          <w:rFonts w:ascii="Times New Roman" w:hAnsi="Times New Roman" w:eastAsia="Times New Roman" w:cs="Times New Roman"/>
          <w:sz w:val="18"/>
        </w:rPr>
      </w:pPr>
      <w:r>
        <w:rPr>
          <w:rFonts w:eastAsia="Times New Roman" w:cs="Times New Roman" w:hint="eastAsia"/>
          <w:sz w:val="18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jc w:val="center"/>
        <w:rPr>
          <w:rFonts w:ascii="Times New Roman" w:hAnsi="Times New Roman" w:eastAsia="宋体" w:cs="Times New Roman"/>
          <w:b/>
          <w:sz w:val="32"/>
        </w:rPr>
      </w:pPr>
      <w:r>
        <w:rPr>
          <w:rFonts w:cs="Times New Roman"/>
          <w:b/>
          <w:sz w:val="32"/>
        </w:rPr>
        <w:t xml:space="preserve">Water-based </w:t>
      </w:r>
      <w:r>
        <w:rPr>
          <w:rFonts w:cs="Times New Roman" w:hint="eastAsia"/>
          <w:b/>
          <w:sz w:val="32"/>
        </w:rPr>
        <w:t>polyurethane</w:t>
      </w:r>
      <w:r>
        <w:rPr>
          <w:rFonts w:cs="Times New Roman"/>
          <w:b/>
          <w:sz w:val="32"/>
        </w:rPr>
        <w:t xml:space="preserve"> dispersion </w:t>
      </w:r>
      <w:r>
        <w:rPr>
          <w:rFonts w:cs="Times New Roman" w:hint="eastAsia"/>
          <w:b/>
          <w:sz w:val="32"/>
        </w:rPr>
        <w:t>PU-2345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Characterization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Supply Form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Technical Data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5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993"/>
        <w:gridCol w:w="1910"/>
        <w:gridCol w:w="1094"/>
        <w:gridCol w:w="2587"/>
      </w:tblGrid>
      <w:tr>
        <w:trPr>
          <w:trHeight w:val="274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b/>
                <w:bCs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Property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Specification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Unit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b/>
                <w:bCs/>
                <w:color w:val="000000"/>
                <w:kern w:val="0"/>
                <w:sz w:val="24"/>
                <w:szCs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Test Method</w:t>
            </w:r>
          </w:p>
        </w:tc>
      </w:tr>
      <w:tr>
        <w:trPr>
          <w:trHeight w:val="428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Emulsion Appearance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Epoxy Equivalent Weight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Times New Roman" w:hint="eastAsia"/>
                <w:b w:val="false"/>
                <w:bCs w:val="false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Solids Content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/>
                <w:b w:val="false"/>
                <w:bCs w:val="false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pH Value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 w:ascii="宋体" w:hAnsi="宋体"/>
                <w:b w:val="false"/>
                <w:bCs w:val="false"/>
                <w:sz w:val="24"/>
              </w:rPr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eastAsia="宋体" w:cs="宋体" w:ascii="宋体" w:hAnsi="宋体"/>
                <w:b/>
                <w:bCs/>
                <w:sz w:val="24"/>
                <w:szCs w:val="24"/>
              </w:rPr>
              <w:t>Viscosity (25°C)</w:t>
            </w:r>
          </w:p>
        </w:tc>
        <w:tc>
          <w:tcPr>
            <w:tcW w:w="19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2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b w:val="false"/>
                <w:bCs w:val="false"/>
                <w:sz w:val="24"/>
              </w:rPr>
            </w:pPr>
            <w:r>
              <w:rPr>
                <w:rFonts w:cs="宋体" w:hint="eastAsia"/>
                <w:b w:val="false"/>
                <w:bCs w:val="false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Product features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15"/>
          <w:szCs w:val="8"/>
        </w:rPr>
      </w:pPr>
      <w:r>
        <w:rPr>
          <w:rFonts w:eastAsia="宋体" w:cs="Times New Roman" w:ascii="宋体" w:hAnsi="宋体"/>
          <w:b/>
          <w:sz w:val="15"/>
          <w:szCs w:val="8"/>
        </w:rPr>
      </w:r>
    </w:p>
    <w:p>
      <w:pPr>
        <w:pStyle w:val="Normal"/>
        <w:numPr>
          <w:ilvl w:val="0"/>
          <w:numId w:val="1"/>
        </w:numPr>
        <w:spacing w:lineRule="atLeast" w:line="0"/>
        <w:ind w:left="840" w:hanging="360"/>
        <w:jc w:val="both"/>
        <w:rPr>
          <w:rFonts w:ascii="宋体" w:hAnsi="宋体" w:eastAsia="宋体" w:cs="Times New Roman" w:hint="eastAsia"/>
          <w:sz w:val="24"/>
        </w:rPr>
        <w:tabs>
          <w:tab w:val="left" w:pos="840"/>
        </w:tabs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numPr>
          <w:ilvl w:val="0"/>
          <w:numId w:val="1"/>
        </w:numPr>
        <w:spacing w:lineRule="atLeast" w:line="0"/>
        <w:ind w:left="840" w:hanging="360"/>
        <w:jc w:val="both"/>
        <w:rPr>
          <w:rFonts w:ascii="宋体" w:hAnsi="宋体" w:eastAsia="宋体" w:cs="Times New Roman" w:hint="eastAsia"/>
          <w:sz w:val="24"/>
        </w:rPr>
        <w:tabs>
          <w:tab w:val="left" w:pos="840"/>
        </w:tabs>
      </w:pPr>
      <w:r>
        <w:rPr>
          <w:rFonts w:ascii="宋体" w:hAnsi="宋体" w:cs="Times New Roman" w:hint="eastAsia"/>
          <w:sz w:val="24"/>
        </w:rPr>
        <w:t>对配方设计的容忍度高，可直接用于色浆研磨；</w:t>
      </w:r>
    </w:p>
    <w:p>
      <w:pPr>
        <w:pStyle w:val="Normal"/>
        <w:spacing w:lineRule="exact" w:line="207"/>
        <w:rPr>
          <w:rFonts w:ascii="Times New Roman" w:hAnsi="Times New Roman" w:eastAsia="Times New Roman" w:cs="Times New Roman"/>
          <w:sz w:val="11"/>
          <w:szCs w:val="6"/>
        </w:rPr>
      </w:pPr>
      <w:r>
        <w:rPr>
          <w:rFonts w:eastAsia="Times New Roman" w:cs="Times New Roman" w:hint="eastAsia"/>
          <w:sz w:val="11"/>
          <w:szCs w:val="6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Application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</w:t>
      </w:r>
      <w:r>
        <w:rPr>
          <w:rFonts w:eastAsia="宋体" w:cs="Times New Roman" w:ascii="宋体" w:hAnsi="宋体"/>
          <w:b/>
          <w:sz w:val="28"/>
        </w:rPr>
        <w:t>Storage</w:t>
      </w:r>
      <w:r>
        <w:rPr>
          <w:rFonts w:ascii="宋体" w:hAnsi="宋体" w:cs="Times New Roman"/>
          <w:b/>
          <w:sz w:val="28"/>
        </w:rPr>
        <w:t>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微软雅黑">
    <w:charset w:val="86"/>
    <w:family w:val="swiss"/>
    <w:pitch w:val="default"/>
  </w:font>
  <w:font w:name="宋体">
    <w:charset w:val="86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2026-09-04T17:30:53Z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