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此处填写产品中文名称+型号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此处填写化学品分类名称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此处填写使用建议和使用限制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宋体" w:ascii="宋体" w:hAnsi="宋体" w:eastAsia="宋体"/>
                <w:kern w:val="0"/>
                <w:sz w:val="24"/>
                <w:szCs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地址：广州市萝岗区科学城掬泉路3号广州国际企业孵化器A区1106室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rPr>
          <w:cantSplit/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6D702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B9FE21E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.1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  <w:lang w:val="en-US" w:eastAsia="zh-CN"/>
              </w:rPr>
              <w:t>紧急情况概述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2BD6BEE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GHS危险性类别：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易燃液体，类别4（H227）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GHS标签要素：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4"/>
                <w:lang w:val="en-US" w:eastAsia="zh-CN"/>
                <w:szCs w:val="24"/>
              </w:rPr>
              <w:t>无</w:t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2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GHS象形图：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4"/>
                <w:lang w:val="en-US" w:eastAsia="zh-CN"/>
                <w:szCs w:val="24"/>
              </w:rPr>
              <w:t>无</w:t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信号词：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警告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危险性说明：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H316造成轻微皮肤刺激。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6  </w:t>
            </w:r>
            <w:r>
              <w:rPr>
                <w:rFonts w:hint="eastAsia" w:hAnsi="Arial"/>
                <w:b/>
                <w:sz w:val="24"/>
              </w:rPr>
              <w:t>防范说明：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623E1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预防措施：</w:t>
            </w:r>
          </w:p>
          <w:p w14:paraId="400FB0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P210 远离热源、热表面、火花、明火和其他点火源。禁止吸烟。</w:t>
            </w:r>
          </w:p>
        </w:tc>
      </w:tr>
      <w:tr w14:paraId="3109C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C1E34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2.7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 物理和化学</w:t>
            </w:r>
            <w:r>
              <w:rPr>
                <w:rFonts w:hint="eastAsia" w:hAnsi="Arial"/>
                <w:b/>
                <w:sz w:val="24"/>
              </w:rPr>
              <w:t>危险：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56968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喷涂使用时可能形成雾滴或气溶胶，应避免吸入。</w:t>
            </w:r>
          </w:p>
        </w:tc>
      </w:tr>
      <w:tr w14:paraId="74281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5CE30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健康危害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360AE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吸入：</w:t>
            </w:r>
          </w:p>
        </w:tc>
      </w:tr>
      <w:tr w14:paraId="5481F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497D4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3DC5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食入：</w:t>
            </w:r>
          </w:p>
        </w:tc>
      </w:tr>
      <w:tr w14:paraId="4F5F8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2E0B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16CCF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皮肤：</w:t>
            </w:r>
          </w:p>
        </w:tc>
      </w:tr>
      <w:tr w14:paraId="76713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A3CE7B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AD1F4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眼睛：</w:t>
            </w:r>
          </w:p>
        </w:tc>
      </w:tr>
      <w:tr w14:paraId="2FBC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9569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6716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症状和体征：</w:t>
            </w:r>
          </w:p>
        </w:tc>
      </w:tr>
      <w:tr w14:paraId="01953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44EEFC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环境危害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36214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如：对水生生物有毒。</w:t>
            </w:r>
            <w:r>
              <w:rPr>
                <w:rFonts w:hint="default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可能对水生环境造成长期有害影响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2.10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其他危害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无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dotted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tabs>
                <w:tab w:val="clear" w:pos="5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tabs>
                <w:tab w:val="clear" w:pos="5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</w:rPr>
              <w:t>CAS</w:t>
            </w:r>
            <w:r>
              <w:rPr>
                <w:rFonts w:hint="eastAsia"/>
                <w:sz w:val="24"/>
                <w:u w:val="single"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</w:rPr>
              <w:t>含量</w:t>
            </w:r>
            <w:r>
              <w:rPr>
                <w:sz w:val="24"/>
                <w:u w:val="single"/>
              </w:rPr>
              <w:t>%</w:t>
            </w:r>
            <w:r>
              <w:rPr>
                <w:rFonts w:hint="eastAsia" w:hAnsi="Arial"/>
                <w:sz w:val="24"/>
                <w:u w:val="single"/>
              </w:rPr>
              <w:t>（</w:t>
            </w:r>
            <w:r>
              <w:rPr>
                <w:sz w:val="24"/>
                <w:u w:val="single"/>
              </w:rPr>
              <w:t>w/w</w:t>
            </w:r>
            <w:r>
              <w:rPr>
                <w:rFonts w:hint="eastAsia" w:hAnsi="Arial"/>
                <w:sz w:val="24"/>
                <w:u w:val="single"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 w:ascii="宋体" w:hAnsi="宋体" w:eastAsia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成分1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&gt; n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 w:ascii="宋体" w:hAnsi="宋体" w:eastAsia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成分2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&gt; 45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若意外吞食，不要催吐，立即就医。</w:t>
            </w: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无意识时，不要经口喂食任何食物。</w:t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二氧化碳（</w:t>
            </w:r>
            <w:r>
              <w:rPr>
                <w:rFonts w:ascii="宋体" w:hAnsi="宋体" w:eastAsia="宋体" w:cs="宋体"/>
                <w:sz w:val="24"/>
                <w:szCs w:val="24"/>
              </w:rPr>
              <w:t>CO</w:t>
            </w:r>
            <w:r>
              <w:rPr>
                <w:rFonts w:ascii="宋体" w:hAnsi="宋体" w:eastAsia="宋体" w:cs="宋体"/>
                <w:sz w:val="24"/>
                <w:vertAlign w:val="subscript"/>
                <w:szCs w:val="24"/>
              </w:rPr>
              <w:t>2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），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耐醇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泡沫，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化学干粉</w:t>
            </w:r>
            <w:r>
              <w:rPr>
                <w:rFonts w:hint="eastAsia" w:ascii="宋体" w:hAnsi="宋体" w:eastAsia="宋体" w:cs="宋体"/>
                <w:sz w:val="24"/>
                <w:lang w:eastAsia="zh-CN"/>
                <w:szCs w:val="24"/>
              </w:rPr>
              <w:t>。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大火时应用水喷洒。</w:t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C3C7C3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高流量的水喷射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。</w:t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燃烧时释放一氧化碳、二氧化碳、氮氧化物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等</w:t>
            </w:r>
            <w:r>
              <w:rPr>
                <w:rFonts w:hint="eastAsia" w:ascii="宋体" w:hAnsi="宋体" w:eastAsia="宋体" w:cs="宋体"/>
                <w:sz w:val="24"/>
                <w:lang w:eastAsia="zh-CN"/>
                <w:szCs w:val="24"/>
              </w:rPr>
              <w:t>。</w:t>
            </w:r>
          </w:p>
          <w:p w14:paraId="25D17F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在着火或爆炸情况下，不要吸进烟尘。</w:t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6625AEA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消防人员必须佩戴自供气式呼吸器。</w:t>
            </w:r>
          </w:p>
          <w:p w14:paraId="2383C72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cantSplit/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nil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nil"/>
              <w:bottom w:val="dotted" w:color="auto" w:sz="4" w:space="0"/>
            </w:tcBorders>
            <w:vAlign w:val="center"/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戴防护设备。确保充分的通风</w:t>
            </w:r>
            <w:r>
              <w:rPr>
                <w:rFonts w:ascii="宋体" w:hAnsi="宋体" w:eastAsia="宋体" w:cs="宋体"/>
                <w:sz w:val="24"/>
                <w:szCs w:val="24"/>
              </w:rPr>
              <w:t>/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排气。</w:t>
            </w:r>
          </w:p>
          <w:p w14:paraId="756EC0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令未授权人员离开。</w:t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nil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dotted" w:color="auto" w:sz="4" w:space="0"/>
            </w:tcBorders>
            <w:vAlign w:val="center"/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禁止排入下水道，废水或土壤中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。</w:t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nil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single" w:color="auto" w:sz="4" w:space="0"/>
            </w:tcBorders>
            <w:vAlign w:val="center"/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用化学品吸收材料或必要时用干沙收集，并储存于密闭容器中。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540"/>
              </w:tabs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在具有适当排气通风的场所使用。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避免与皮肤和眼睛接触。</w:t>
            </w: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不要呼吸蒸气或喷雾。远离食物，饮料和烟草，休息前及工作结束及时洗手。更换被污染或浸湿的衣物。</w:t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540"/>
              </w:tabs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容器保持紧闭，存储在</w:t>
            </w: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凉爽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通风处。</w:t>
            </w: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为保证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产品质量，必须遵守我们产品信息表的储存条件。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 xml:space="preserve"> </w:t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>喷涂过程中要求有呼吸防护设备。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厚度≧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0.4mm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；穿透时间≧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480min.</w:t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厚度≧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0.5mm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；穿透时间≧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480min.</w:t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厚度≧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0.35mm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；穿透时间≧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480min.</w:t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戴</w:t>
            </w: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护目镜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/面罩。</w:t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穿着适当的防护服。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工程控制：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使用局部排风或全面通风，保持工作场所空气中浓度低于职业接触限值；工作场所设置洗眼器与安全淋浴设施。</w:t>
            </w:r>
          </w:p>
        </w:tc>
      </w:tr>
      <w:tr w14:paraId="7F1E8C31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9860" w:type="dxa"/>
            <w:gridSpan w:val="5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5F92136">
            <w:pPr>
              <w:spacing w:line="300" w:lineRule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/>
                <w:b/>
                <w:sz w:val="24"/>
              </w:rPr>
              <w:t>工作场所组分控制参数</w:t>
            </w:r>
          </w:p>
        </w:tc>
      </w:tr>
      <w:tr w14:paraId="0B7B210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193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E67E1A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物质</w:t>
            </w:r>
          </w:p>
        </w:tc>
        <w:tc>
          <w:tcPr>
            <w:tcW w:w="1737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E89288B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依据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4BECAC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类型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1B1942F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数值</w:t>
            </w:r>
          </w:p>
        </w:tc>
      </w:tr>
      <w:tr w14:paraId="4FE453F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193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252D7AC4">
            <w:pPr>
              <w:spacing w:line="300" w:lineRule="auto"/>
              <w:jc w:val="left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六亚甲基-</w:t>
            </w: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,</w:t>
            </w:r>
            <w:r>
              <w:rPr>
                <w:rFonts w:ascii="宋体" w:hAnsi="宋体" w:eastAsia="宋体" w:cs="宋体"/>
                <w:sz w:val="24"/>
                <w:szCs w:val="24"/>
              </w:rPr>
              <w:t>6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-二异氰酸酯</w:t>
            </w:r>
          </w:p>
        </w:tc>
        <w:tc>
          <w:tcPr>
            <w:tcW w:w="1737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6975D77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CN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EAACCE3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D702FD5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0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.03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mg</w:t>
            </w:r>
            <w:r>
              <w:rPr>
                <w:rFonts w:ascii="宋体" w:hAnsi="宋体" w:eastAsia="宋体" w:cs="宋体"/>
                <w:sz w:val="24"/>
                <w:szCs w:val="24"/>
              </w:rPr>
              <w:t>/m</w:t>
            </w:r>
            <w:r>
              <w:rPr>
                <w:rFonts w:ascii="宋体" w:hAnsi="宋体" w:eastAsia="宋体" w:cs="宋体"/>
                <w:sz w:val="24"/>
                <w:vertAlign w:val="superscript"/>
                <w:szCs w:val="24"/>
              </w:rPr>
              <w:t>3</w:t>
            </w:r>
          </w:p>
        </w:tc>
      </w:tr>
      <w:tr w14:paraId="2D7FCD9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193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4D57865C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丙二醇甲醚醋酸酯</w:t>
            </w:r>
          </w:p>
        </w:tc>
        <w:tc>
          <w:tcPr>
            <w:tcW w:w="1737" w:type="dxa"/>
            <w:gridSpan w:val="2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23247551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CN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506146D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4AD0DDD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100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mg</w:t>
            </w:r>
            <w:r>
              <w:rPr>
                <w:rFonts w:ascii="宋体" w:hAnsi="宋体" w:eastAsia="宋体" w:cs="宋体"/>
                <w:sz w:val="24"/>
                <w:szCs w:val="24"/>
              </w:rPr>
              <w:t>/m</w:t>
            </w:r>
            <w:r>
              <w:rPr>
                <w:rFonts w:ascii="宋体" w:hAnsi="宋体" w:eastAsia="宋体" w:cs="宋体"/>
                <w:sz w:val="24"/>
                <w:vertAlign w:val="superscript"/>
                <w:szCs w:val="24"/>
              </w:rPr>
              <w:t>3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嗅觉阈值：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9.3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9.4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color w:val="000000"/>
                <w:sz w:val="24"/>
                <w:szCs w:val="24"/>
              </w:rPr>
              <w:t>非离子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9.5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9.6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闪点：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9.7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蒸发速率：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9.9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燃烧值：   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9.11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9.12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密度：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9.13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9.14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表面张力：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9.15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9.16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9.17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9.18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9.19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9.21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9.22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固体含量：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9.24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 w:firstLine="26" w:firstLineChars="1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在推荐储存和操作条件下稳定。避免冻结、过热和长期阳光照射。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受热分解或燃烧可能产生一氧化碳、二氧化碳、氮氧化物及刺激性烟气。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正常使用条件下无已知危险反应；</w:t>
            </w:r>
          </w:p>
        </w:tc>
      </w:tr>
      <w:tr w14:paraId="0D0A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67860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应避免的条件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8B73A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eastAsia="宋体"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无数据</w:t>
            </w:r>
          </w:p>
        </w:tc>
      </w:tr>
      <w:tr w14:paraId="4376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D5C17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10.5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禁配物：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201E2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eastAsia="宋体"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无数据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cantSplit/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ABAC8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leftChars="16" w:right="48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（CAS号：112-34-5）的毒理学参考数据：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半数致死剂量（LD50）/大鼠：约3,306 mg/kg。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 xml:space="preserve">半数致死浓度（LC50）/4 h/大鼠： ＞1.5 mg/L（气溶胶）。 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半数致死剂量（LD50）/兔：2,764 mg/kg。</w:t>
            </w:r>
          </w:p>
        </w:tc>
      </w:tr>
      <w:tr w14:paraId="2B06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ED0690">
            <w:pPr>
              <w:keepNext w:val="0"/>
              <w:numPr>
                <w:ilvl w:val="1"/>
                <w:numId w:val="0"/>
              </w:numPr>
              <w:spacing w:line="300" w:lineRule="auto"/>
              <w:ind w:left="599" w:leftChars="16" w:hanging="565" w:hangingChars="268"/>
              <w:jc w:val="both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FC9C1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根据现有数据，二乙二醇单丁醚未达到急性经口、 经皮或气溶胶吸入毒性的分类标准。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主要皮肤刺激性：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0502D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物种：兔子</w:t>
            </w:r>
          </w:p>
          <w:p w14:paraId="6419A3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根据现有数据，不属于皮肤腐蚀或皮肤刺激类</w:t>
            </w:r>
          </w:p>
          <w:p w14:paraId="3642F8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长时间或反复接触可能造成皮肤干燥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主要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眼睛</w:t>
            </w:r>
            <w:r>
              <w:rPr>
                <w:rFonts w:hint="eastAsia" w:hAnsi="Arial"/>
                <w:b/>
                <w:sz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66A0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物种：兔子</w:t>
            </w:r>
          </w:p>
          <w:p w14:paraId="40548A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分类：刺激眼睛</w:t>
            </w:r>
          </w:p>
          <w:p w14:paraId="7B7072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未稀释的二乙二醇单丁醚可造成明显眼睛刺激，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6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BF7D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物种：</w:t>
            </w:r>
            <w:r>
              <w:rPr>
                <w:rFonts w:ascii="宋体" w:hAnsi="宋体" w:eastAsia="宋体" w:cs="宋体"/>
                <w:sz w:val="24"/>
                <w:szCs w:val="24"/>
              </w:rPr>
              <w:t>豚鼠</w:t>
            </w:r>
          </w:p>
          <w:p w14:paraId="40806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根据现有资料，不属于皮肤致敏物质</w:t>
            </w:r>
          </w:p>
          <w:p w14:paraId="12A8D6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动物试验中未观察到皮肤过敏反应。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多数细菌回复突变试验及染色体畸变试验结果为阴性。 部分体外基因突变试验结果存在差异。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生殖毒性：</w:t>
            </w: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6322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default" w:hAnsi="Arial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生育力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致畸形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1696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56A2A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60C53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03F84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体外遗传毒性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0D12D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根据现有资料，未达到特异性靶器官毒性 一次接触的分类标准。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  <w:vAlign w:val="center"/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眼睛接触可能造成明显刺激、发红及疼痛。</w:t>
            </w:r>
          </w:p>
          <w:p w14:paraId="546BAC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长时间或反复皮肤接触可能造成轻微刺激、 皮肤发红或皮肤干燥。 </w:t>
            </w:r>
          </w:p>
          <w:p w14:paraId="2A99AA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正常温度下蒸气压较低，单次蒸气暴露通常不预期造成明显不良影响；</w:t>
            </w:r>
          </w:p>
          <w:p w14:paraId="3F859F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喷涂、加热或形成气溶胶时， 应保持良好通风并避免吸入。 误食较大剂量可能造成不适。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宋体" w:ascii="宋体" w:eastAsia="宋体" w:cs="宋体"/>
                <w:sz w:val="24"/>
                <w:shd w:val="clear" w:color="auto" w:fill="auto"/>
                <w:szCs w:val="24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（CAS号：112-34-5）的生态毒理学参考数据：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4"/>
                <w:shd w:val="clear" w:color="auto" w:fill="auto"/>
                <w:lang w:val="en-US" w:eastAsia="zh-CN"/>
                <w:szCs w:val="24"/>
              </w:rPr>
              <w:t>对鱼类的毒性：</w:t>
            </w:r>
          </w:p>
          <w:p w14:paraId="32D8BB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半数致死浓度（LC50）/96 h/ 蓝鳃太阳鱼：1,300 mg/L</w:t>
            </w:r>
          </w:p>
          <w:p w14:paraId="6D8700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4"/>
                <w:shd w:val="clear" w:color="auto" w:fill="auto"/>
                <w:lang w:val="en-US" w:eastAsia="zh-CN"/>
                <w:szCs w:val="24"/>
              </w:rPr>
              <w:t>其他：</w:t>
            </w:r>
          </w:p>
          <w:p w14:paraId="1BA672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生物量半数有效浓度（EbC50）/96 h/ 绿藻：＞100 mg/L。 半数有效浓度（EC50）/48 h/ 大型溞：＞100 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生物降解率：89%—93%，28 d</w:t>
            </w:r>
          </w:p>
          <w:p w14:paraId="7FBC7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试验方法：OECD 301C或等效方法</w:t>
            </w:r>
            <w:r>
              <w:rPr>
                <w:rFonts w:hint="eastAsia" w:ascii="宋体" w:hAnsi="宋体" w:cs="宋体" w:eastAsia="宋体"/>
                <w:sz w:val="24"/>
                <w:szCs w:val="24"/>
                <w:lang w:eastAsia="zh-CN"/>
              </w:rPr>
              <w:t>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必须遵守适用的国标、国家或当地法规进行废弃。</w:t>
            </w:r>
          </w:p>
          <w:p w14:paraId="1E572E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在欧盟领域内废弃，应根据欧洲废弃物分类（</w:t>
            </w:r>
            <w:r>
              <w:rPr>
                <w:rFonts w:ascii="宋体" w:hAnsi="宋体" w:eastAsia="宋体" w:cs="宋体"/>
                <w:sz w:val="24"/>
                <w:szCs w:val="24"/>
              </w:rPr>
              <w:t>EWC</w:t>
            </w:r>
            <w:r>
              <w:rPr>
                <w:rFonts w:hint="eastAsia" w:hAnsi="宋体" w:ascii="宋体" w:eastAsia="宋体" w:cs="宋体"/>
                <w:sz w:val="24"/>
                <w:szCs w:val="24"/>
              </w:rPr>
              <w:t>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tabs>
                <w:tab w:val="left" w:pos="327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尽可能将容器倒空（例如经倾倒，刮擦或排干直至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“</w:t>
            </w:r>
            <w:r>
              <w:rPr>
                <w:rFonts w:hint="eastAsia" w:hAnsi="宋体" w:ascii="宋体" w:eastAsia="宋体" w:cs="宋体"/>
                <w:sz w:val="24"/>
                <w:szCs w:val="24"/>
              </w:rPr>
              <w:t>滴干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”</w:t>
            </w:r>
            <w:r>
              <w:rPr>
                <w:rFonts w:hint="eastAsia" w:hAnsi="宋体" w:ascii="宋体" w:eastAsia="宋体" w:cs="宋体"/>
                <w:sz w:val="24"/>
                <w:szCs w:val="24"/>
              </w:rPr>
              <w:t>）</w:t>
            </w:r>
          </w:p>
          <w:p w14:paraId="6EB8C2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可根据化学工业现存的回收方案送往适当的收集点处理。</w:t>
            </w:r>
          </w:p>
          <w:p w14:paraId="431F0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容器应按照国家法令和环境相关法规进行回收。</w:t>
            </w:r>
          </w:p>
          <w:p w14:paraId="5A41BF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不能将废弃物通过废水排放。</w:t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非危险货物。</w:t>
            </w:r>
          </w:p>
          <w:p w14:paraId="2658AC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避免</w:t>
            </w:r>
            <w:r>
              <w:rPr>
                <w:rFonts w:hint="eastAsia" w:hAnsi="宋体" w:ascii="宋体" w:eastAsia="宋体" w:cs="宋体"/>
                <w:sz w:val="24"/>
                <w:szCs w:val="24"/>
              </w:rPr>
              <w:t>温度高于</w:t>
            </w:r>
            <w:r>
              <w:rPr>
                <w:rFonts w:ascii="宋体" w:hAnsi="宋体" w:eastAsia="宋体" w:cs="宋体"/>
                <w:sz w:val="24"/>
                <w:szCs w:val="24"/>
              </w:rPr>
              <w:t>+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35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℃，温度不可低于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+</w:t>
            </w:r>
            <w:r>
              <w:rPr>
                <w:rFonts w:ascii="宋体" w:hAnsi="宋体" w:eastAsia="宋体" w:cs="宋体"/>
                <w:sz w:val="24"/>
                <w:szCs w:val="24"/>
              </w:rPr>
              <w:t>5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℃。</w:t>
            </w:r>
          </w:p>
          <w:p w14:paraId="504BEA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危险化学品安全管理条例，国务院令</w:t>
            </w:r>
            <w:r>
              <w:rPr>
                <w:rFonts w:hint="eastAsia" w:cs="宋体" w:ascii="宋体" w:hAnsi="宋体" w:eastAsia="宋体"/>
                <w:bCs/>
                <w:kern w:val="0"/>
                <w:sz w:val="24"/>
                <w:lang w:val="en-US" w:eastAsia="zh-CN"/>
                <w:szCs w:val="24"/>
              </w:rPr>
              <w:t>591</w:t>
            </w: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号</w:t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宋体" w:ascii="宋体" w:hAnsi="宋体" w:eastAsia="宋体"/>
                <w:bCs/>
                <w:kern w:val="0"/>
                <w:sz w:val="24"/>
                <w:szCs w:val="24"/>
              </w:rPr>
              <w:t xml:space="preserve">GB/T 16483 </w:t>
            </w: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化学品安全技术说明书内容和项目顺序</w:t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宋体" w:ascii="宋体" w:hAnsi="宋体" w:eastAsia="宋体"/>
                <w:bCs/>
                <w:kern w:val="0"/>
                <w:sz w:val="24"/>
                <w:szCs w:val="24"/>
              </w:rPr>
              <w:t xml:space="preserve">GB 13690 </w:t>
            </w: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化学品分类和危险性公示通则</w:t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宋体" w:ascii="宋体" w:hAnsi="宋体" w:eastAsia="宋体"/>
                <w:bCs/>
                <w:kern w:val="0"/>
                <w:sz w:val="24"/>
                <w:szCs w:val="24"/>
              </w:rPr>
              <w:t xml:space="preserve">GB </w:t>
            </w:r>
            <w:r>
              <w:rPr>
                <w:rFonts w:hint="eastAsia" w:cs="宋体" w:ascii="宋体" w:hAnsi="宋体" w:eastAsia="宋体"/>
                <w:bCs/>
                <w:kern w:val="0"/>
                <w:sz w:val="24"/>
                <w:lang w:val="en-US" w:eastAsia="zh-CN"/>
                <w:szCs w:val="24"/>
              </w:rPr>
              <w:t>30000.2-29 化学品分类和标签规范</w:t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宋体" w:ascii="宋体" w:hAnsi="宋体" w:eastAsia="宋体"/>
                <w:bCs/>
                <w:kern w:val="0"/>
                <w:sz w:val="24"/>
                <w:lang w:val="en-US" w:eastAsia="zh-CN"/>
                <w:szCs w:val="24"/>
              </w:rPr>
              <w:t>GB 15258 化学品安全标签编写规定</w:t>
            </w:r>
          </w:p>
        </w:tc>
      </w:tr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center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EA</w:t>
          </w:r>
          <w:r>
            <w:rPr>
              <w:rFonts w:hint="eastAsia"/>
              <w:kern w:val="0"/>
              <w:sz w:val="21"/>
              <w:szCs w:val="21"/>
            </w:rPr>
            <w:t>-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4139</w:t>
          </w:r>
          <w:r>
            <w:rPr>
              <w:rFonts w:hint="eastAsia"/>
              <w:kern w:val="0"/>
              <w:sz w:val="21"/>
              <w:szCs w:val="21"/>
            </w:rPr>
            <w:t>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P修订日期：2026年08月05日  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</w:t>
    </w:r>
    <w:r>
      <w:rPr>
        <w:rFonts w:hint="eastAsia" w:ascii="Arial" w:eastAsia="楷体_GB2312"/>
        <w:sz w:val="18"/>
        <w:szCs w:val="18"/>
        <w:lang w:val="en-US" w:eastAsia="zh-CN"/>
      </w:rPr>
      <w:t>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PEA-4139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3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2026-09-09T08:57:30Z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