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 w:before="0" w:after="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firstLine="482" w:firstLineChars="20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spacing w:line="300" w:lineRule="auto" w:before="0" w:after="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水性环氧乳液 EP-1704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 w:before="0" w:after="0"/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环氧水分散体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jc w:val="both"/>
              <w:rPr>
                <w:rFonts w:hint="default" w:eastAsia="宋体"/>
                <w:sz w:val="24"/>
                <w:lang w:val="en-US" w:eastAsia="zh-CN"/>
              </w:rPr>
              <w:spacing w:before="0" w:after="0"/>
            </w:pPr>
            <w:r>
              <w:rPr>
                <w:rFonts w:hint="eastAsia" w:hAnsi="Arial"/>
                <w:sz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jc w:val="both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 w:before="0" w:after="0"/>
              <w:jc w:val="both"/>
              <w:rPr>
                <w:rFonts w:cs="宋体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jc w:val="both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2.1  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spacing w:line="300" w:lineRule="auto" w:before="0" w:after="0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对水环境有慢性危害，类别3（H412）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spacing w:line="300" w:lineRule="auto" w:before="0" w:after="0"/>
              <w:jc w:val="lef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丙二醇甲醚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2.2  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spacing w:line="300" w:lineRule="auto" w:before="0" w:after="0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H412 对水生生物有害并具有长期持续影响。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2.3  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spacing w:line="300" w:lineRule="auto" w:before="0" w:after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P273 禁止排入环境。</w:t>
              <w:br/>
            </w:r>
            <w:r>
              <w:rPr>
                <w:rFonts w:hint="eastAsia" w:hAnsi="Arial"/>
                <w:sz w:val="24"/>
                <w:lang w:val="en-US" w:eastAsia="zh-CN"/>
              </w:rPr>
              <w:t>P501 将本品或其容器送至有资质的废物处理厂处置。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  <w:spacing w:before="0" w:after="0"/>
            </w:pPr>
            <w:r>
              <w:rPr>
                <w:rFonts w:hint="eastAsia" w:hAnsi="Arial"/>
                <w:sz w:val="24"/>
                <w:lang w:val="en-US" w:eastAsia="zh-CN"/>
              </w:rPr>
              <w:t>对水生生物有害并具有长期持续影响。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jc w:val="left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 w:before="0" w:after="0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 w:before="0" w:after="0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 w:before="0" w:after="0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 w:before="0" w:after="0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CAS</w:t>
            </w:r>
            <w:r>
              <w:rPr>
                <w:rFonts w:hint="eastAsia" w:hAnsi="Arial"/>
                <w:sz w:val="24"/>
                <w:lang w:val="en-US" w:eastAsia="zh-CN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 w:before="0" w:after="0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含量</w:t>
            </w:r>
            <w:r>
              <w:rPr>
                <w:rFonts w:hint="eastAsia" w:hAnsi="Arial"/>
                <w:sz w:val="24"/>
                <w:lang w:val="en-US" w:eastAsia="zh-CN"/>
              </w:rPr>
              <w:t>%</w:t>
            </w:r>
            <w:r>
              <w:rPr>
                <w:rFonts w:hint="eastAsia" w:hAnsi="Arial"/>
                <w:sz w:val="24"/>
                <w:lang w:val="en-US" w:eastAsia="zh-CN"/>
              </w:rPr>
              <w:t>（</w:t>
            </w:r>
            <w:r>
              <w:rPr>
                <w:rFonts w:hint="eastAsia" w:hAnsi="Arial"/>
                <w:sz w:val="24"/>
                <w:lang w:val="en-US" w:eastAsia="zh-CN"/>
              </w:rPr>
              <w:t>w/w</w:t>
            </w:r>
            <w:r>
              <w:rPr>
                <w:rFonts w:hint="eastAsia" w:hAnsi="Arial"/>
                <w:sz w:val="24"/>
                <w:lang w:val="en-US" w:eastAsia="zh-CN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改性环氧聚合物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 w:before="0" w:after="0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45-55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 w:before="0" w:after="0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35-45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丙二醇甲醚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 w:before="0" w:after="0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107-98-2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 w:before="0" w:after="0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2-8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 w:before="0" w:after="0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禁止催吐，须就医。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 w:before="0" w:after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 w:before="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二氧化碳（CO2），泡沫，灭火粉末，大火时应用喷洒水。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 w:before="0" w:after="0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高流量的水喷射。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 w:before="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燃烧时释放一氧化碳、二氧化碳、氮氧化物和少量的氰化氢。在着火或爆炸情况下，不要吸进烟尘。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 w:before="0" w:after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消防人员必须佩戴自供气式呼吸器。禁止污染的灭火用水流入土壤，地下水或地表水中。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 w:before="0" w:after="0"/>
              <w:rPr>
                <w:rFonts w:hint="eastAsia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戴防护设备。确保充分的通风/排气。令未授权人员离开。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禁止排入下水道，废水或土壤中。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操作时遵守化学品的常见预防措施。避免与皮肤和眼睛接触。远离食物、饮料和烟草。休息以前和工作结束时洗手。将工作服单独存放。更换被污染或浸湿的衣物。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 w:before="0" w:after="0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容器保持紧闭，存储在干燥通风处。为保持产品质量，必须遵守我们产品信息表的储存条件。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喷涂过程中要求有呼吸防护设备。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E75161B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厚度≧0.4mm；穿透时间≧480min.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D999751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厚度≧0.5mm；穿透时间≧480min.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B72AA6A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autoSpaceDE w:val="0"/>
              <w:autoSpaceDN w:val="0"/>
              <w:adjustRightInd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spacing w:line="300" w:lineRule="auto" w:before="0" w:after="0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戴眼罩/面罩。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spacing w:line="300" w:lineRule="auto" w:before="0" w:after="0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穿着适当的防护服。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乳白液体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tabs>
                <w:tab w:val="left" w:pos="3960"/>
              </w:tabs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初沸点以下无闪点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spacing w:line="300" w:lineRule="auto" w:before="0" w:after="0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 w:before="0" w:after="0"/>
              <w:rPr>
                <w:sz w:val="24"/>
                <w:vertAlign w:val="superscript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可混溶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spacing w:line="300" w:lineRule="auto" w:before="0" w:after="0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不适用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300" w:lineRule="auto" w:before="0" w:after="0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200-5000mPa.s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300" w:lineRule="auto" w:before="0" w:after="0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53±2%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spacing w:line="300" w:lineRule="auto" w:before="0" w:after="0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10.1 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spacing w:line="300" w:lineRule="auto" w:before="0" w:after="0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10.2 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spacing w:line="300" w:lineRule="auto" w:before="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10.3 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spacing w:line="300" w:lineRule="auto" w:before="0" w:after="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12.1 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 w:before="0" w:after="0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12.2  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 w:before="0" w:after="0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12.3 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 w:before="0" w:after="0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根据生态毒理学资料，该产品被划分为对鱼类和水蚤无害类。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 w:before="0" w:after="0"/>
              <w:ind w:left="34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必须遵守适用的国标、国家或当地法规进行废弃。在欧盟领域内废弃，应根据欧洲废弃物分类（EWC）的适当法规。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 w:before="0" w:after="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尽可能将容器倒空（例如经倾倒，刮擦或排干直至“滴干”）。可根据化学工业现存的回收方案送往适当的收集点处理。容器应按照国家法令和环境相关法规进行回收。不能将废弃物通过废水排放。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 w:before="0" w:after="0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 w:before="0" w:after="0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 w:before="0" w:after="0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 w:before="0" w:after="0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非危险货物。温度不可高于+40℃，温度不可低于+5℃。远离食物、酸和碱。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bookmarkStart w:id="0" w:name="_GoBack"/>
            <w:bookmarkEnd w:id="0"/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危险化学品安全管理条例，国务院令</w:t>
            </w:r>
            <w:r>
              <w:rPr>
                <w:rFonts w:hint="eastAsia" w:hAnsi="Arial"/>
                <w:sz w:val="24"/>
                <w:lang w:val="en-US" w:eastAsia="zh-CN"/>
              </w:rPr>
              <w:t>591</w:t>
            </w:r>
            <w:r>
              <w:rPr>
                <w:rFonts w:hint="eastAsia" w:hAnsi="Arial"/>
                <w:sz w:val="24"/>
                <w:lang w:val="en-US" w:eastAsia="zh-CN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GB/T 16483 </w:t>
            </w:r>
            <w:r>
              <w:rPr>
                <w:rFonts w:hint="eastAsia" w:hAnsi="Arial"/>
                <w:sz w:val="24"/>
                <w:lang w:val="en-US" w:eastAsia="zh-CN"/>
              </w:rPr>
              <w:t>化学品安全技术说明书内容和项目顺序</w:t>
            </w:r>
          </w:p>
        </w:tc>
      </w:tr>
      <w:tr w14:paraId="383D9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GB 13690 </w:t>
            </w:r>
            <w:r>
              <w:rPr>
                <w:rFonts w:hint="eastAsia" w:hAnsi="Arial"/>
                <w:sz w:val="24"/>
                <w:lang w:val="en-US" w:eastAsia="zh-CN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GB </w:t>
            </w:r>
            <w:r>
              <w:rPr>
                <w:rFonts w:hint="eastAsia" w:hAnsi="Arial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EP-1704-MSDS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 xml:space="preserve">P修订日期：2026年05月10日  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1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1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EP-1704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A4868"/>
    <w:rsid w:val="4B7137DB"/>
    <w:rsid w:val="4D46517C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2814</Words>
  <Characters>3257</Characters>
  <Lines>18</Lines>
  <Paragraphs>5</Paragraphs>
  <TotalTime>0</TotalTime>
  <ScaleCrop>false</ScaleCrop>
  <LinksUpToDate>false</LinksUpToDate>
  <CharactersWithSpaces>3466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2026-08-31T09:34:03Z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20AAA7BD947541F49093F44D20F2B294_13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