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24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PA-4817</w:t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firstLine="482" w:firstLineChars="20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spacing w:line="24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水性羟基丙烯酸乳液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240" w:lineRule="auto" w:before="0" w:after="0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改性羟基丙烯酸乳液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spacing w:before="0" w:after="0" w:line="240" w:lineRule="auto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粘合剂、涂料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240" w:lineRule="auto" w:before="0" w:after="0"/>
              <w:jc w:val="both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240" w:lineRule="auto" w:before="0" w:after="0"/>
              <w:jc w:val="both"/>
              <w:rPr>
                <w:rFonts w:cs="宋体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jc w:val="both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24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24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24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spacing w:line="24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根据GHS不属于危险物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spacing w:line="240" w:lineRule="auto" w:before="0" w:after="0"/>
              <w:jc w:val="left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根据GHS不属于危险物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spacing w:line="240" w:lineRule="auto" w:before="0" w:after="0"/>
              <w:jc w:val="lef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根据GHS不属于危险物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240" w:lineRule="auto" w:before="0" w:after="0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240" w:lineRule="auto" w:before="0" w:after="0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240" w:lineRule="auto" w:before="0" w:after="0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24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CAS</w:t>
            </w:r>
            <w:r>
              <w:rPr>
                <w:rFonts w:hint="eastAsia" w:hAnsi="Arial"/>
                <w:sz w:val="24"/>
                <w:lang w:val="en-US" w:eastAsia="zh-CN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24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含量</w:t>
            </w:r>
            <w:r>
              <w:rPr>
                <w:rFonts w:hint="eastAsia" w:hAnsi="Arial"/>
                <w:sz w:val="24"/>
                <w:lang w:val="en-US" w:eastAsia="zh-CN"/>
              </w:rPr>
              <w:t>%</w:t>
            </w:r>
            <w:r>
              <w:rPr>
                <w:rFonts w:hint="eastAsia" w:hAnsi="Arial"/>
                <w:sz w:val="24"/>
                <w:lang w:val="en-US" w:eastAsia="zh-CN"/>
              </w:rPr>
              <w:t>（</w:t>
            </w:r>
            <w:r>
              <w:rPr>
                <w:rFonts w:hint="eastAsia" w:hAnsi="Arial"/>
                <w:sz w:val="24"/>
                <w:lang w:val="en-US" w:eastAsia="zh-CN"/>
              </w:rPr>
              <w:t>w/w</w:t>
            </w:r>
            <w:r>
              <w:rPr>
                <w:rFonts w:hint="eastAsia" w:hAnsi="Arial"/>
                <w:sz w:val="24"/>
                <w:lang w:val="en-US" w:eastAsia="zh-CN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24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羟基丙烯酸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240" w:lineRule="auto" w:before="0" w:after="0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24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＞30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24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240" w:lineRule="auto" w:before="0" w:after="0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24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＞50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24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240" w:lineRule="auto" w:before="0" w:after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24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二氧化碳（CO2），泡沫，灭火粉末，大火时应用喷洒水。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240" w:lineRule="auto" w:before="0" w:after="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高流量的水喷射。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24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燃烧时释放一氧化碳、二氧化碳、氮氧化物和少量的氰化氢。在着火或爆炸情况下，不要吸进烟尘。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24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240" w:lineRule="auto" w:before="0" w:after="0"/>
              <w:rPr>
                <w:rFonts w:hint="eastAsia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戴防护设备。确保充分的通风/排气。令未授权人员离开。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操作时遵守化学品的常见预防措施。避免与皮肤和眼睛接触。远离食物、饮料和烟草。休息以前和工作结束时洗手。将工作服单独存放。更换被污染或浸湿的衣物。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24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喷涂过程中要求有呼吸防护设备。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E75161B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999751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B72AA6A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spacing w:line="24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戴眼罩/面罩。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spacing w:line="24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穿着适当的防护服。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半透明液体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6-8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240" w:lineRule="auto" w:before="0" w:after="0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240" w:lineRule="auto" w:before="0" w:after="0"/>
              <w:rPr>
                <w:sz w:val="24"/>
                <w:vertAlign w:val="superscript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240" w:lineRule="auto" w:before="0" w:after="0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24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240" w:lineRule="auto" w:before="0" w:after="0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24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＜1000mPa.s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24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40±1%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24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羟基含量：4.8；最低成膜温度MFFT：25℃；玻璃化温度Tg：28℃。上述数据非产品指标，产品指标请参见产品技术信息表。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spacing w:line="240" w:lineRule="auto" w:before="0" w:after="0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spacing w:line="24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spacing w:line="24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7851511D">
            <w:pPr>
              <w:keepNext w:val="0"/>
              <w:spacing w:line="24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3ABAC8D4">
            <w:pPr>
              <w:keepNext w:val="0"/>
              <w:spacing w:line="240" w:lineRule="auto" w:before="0" w:after="0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类似产品的风险评估数据：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vMerge w:val="restart"/>
            <w:tcBorders>
              <w:top w:val="dotted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CFEB9F">
            <w:pPr>
              <w:keepNext w:val="0"/>
              <w:spacing w:line="240" w:lineRule="auto" w:before="0" w:after="0"/>
              <w:ind w:right="48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6EC890C7">
            <w:pPr>
              <w:keepNext w:val="0"/>
              <w:spacing w:line="24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半数致死剂量（LD50）大鼠：＞2,000mg/kg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24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766A0101">
            <w:pPr>
              <w:keepNext w:val="0"/>
              <w:spacing w:line="24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轻微刺激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4FBF7DC1">
            <w:pPr>
              <w:keepNext w:val="0"/>
              <w:spacing w:line="24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皮肤接触不致敏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tcMar>
              <w:top w:w="0" w:type="dxa"/>
              <w:bottom w:w="0" w:type="dxa"/>
            </w:tcMar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 w:before="0" w:after="0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在AMES试验中无致突变性。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  <w:tcMar>
              <w:top w:w="0" w:type="dxa"/>
              <w:bottom w:w="0" w:type="dxa"/>
            </w:tcMar>
          </w:tcPr>
          <w:p w14:paraId="580BB7A8">
            <w:pPr>
              <w:keepNext w:val="0"/>
              <w:spacing w:line="240" w:lineRule="auto" w:before="0" w:after="0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该产品无可用的生态毒理学研究。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240" w:lineRule="auto" w:before="0" w:after="0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240" w:lineRule="auto" w:before="0" w:after="0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240" w:lineRule="auto" w:before="0" w:after="0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uto" w:before="0" w:after="0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必须遵守适用的国标、国家或当地法规进行废弃。在欧盟领域内废弃，应根据欧洲废弃物分类（EWC）的适当法规。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3EFBDB5F">
            <w:pPr>
              <w:keepNext w:val="0"/>
              <w:spacing w:line="24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尽可能将容器倒空（例如经倾倒，刮擦或排干直至“滴干”）。可根据化学工业现存的回收方案送往适当的收集点处理。容器应按照国家法令和环境相关法规进行回收。不能将废弃物通过废水排放。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014F40C1">
            <w:pPr>
              <w:keepNext w:val="0"/>
              <w:spacing w:line="240" w:lineRule="auto" w:before="0" w:after="0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6F80C302">
            <w:pPr>
              <w:keepNext w:val="0"/>
              <w:spacing w:line="24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2EA81C77">
            <w:pPr>
              <w:keepNext w:val="0"/>
              <w:spacing w:line="24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  <w:tcMar>
              <w:top w:w="0" w:type="dxa"/>
              <w:bottom w:w="0" w:type="dxa"/>
            </w:tcMar>
          </w:tcPr>
          <w:p w14:paraId="130CA992">
            <w:pPr>
              <w:keepNext w:val="0"/>
              <w:spacing w:line="240" w:lineRule="auto" w:before="0" w:after="0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非危险货物。温度不可高于+50℃，温度不可低于-5℃。远离食物、酸和碱。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物质或混合物的相关安全、健康和环保法律法规</w:t>
            </w:r>
          </w:p>
        </w:tc>
      </w:tr>
      <w:tr w14:paraId="2AA9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top"/>
          </w:tcPr>
          <w:p w14:paraId="0A105F4A">
            <w:pPr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eastAsia" w:ascii="Times New Roman" w:hAnsi="Times New Roman" w:eastAsia="宋体" w:cs="Arial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危险化学品安全管理条例，国务院令</w:t>
            </w:r>
            <w:r>
              <w:rPr>
                <w:rFonts w:hint="eastAsia" w:hAnsi="Arial"/>
                <w:sz w:val="24"/>
                <w:lang w:val="en-US" w:eastAsia="zh-CN"/>
              </w:rPr>
              <w:t>591</w:t>
            </w:r>
            <w:r>
              <w:rPr>
                <w:rFonts w:hint="eastAsia" w:hAnsi="Arial"/>
                <w:sz w:val="24"/>
                <w:lang w:val="en-US" w:eastAsia="zh-CN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GB/T 16483</w:t>
            </w:r>
            <w:r>
              <w:rPr>
                <w:rFonts w:hint="eastAsia" w:hAnsi="Arial"/>
                <w:sz w:val="24"/>
                <w:lang w:val="en-US" w:eastAsia="zh-CN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 13690</w:t>
            </w:r>
            <w:r>
              <w:rPr>
                <w:rFonts w:hint="eastAsia" w:hAnsi="Arial"/>
                <w:sz w:val="24"/>
                <w:lang w:val="en-US" w:eastAsia="zh-CN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</w:t>
            </w:r>
            <w:r>
              <w:rPr>
                <w:rFonts w:hint="eastAsia" w:hAnsi="Arial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/>
        </w:trPr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autoSpaceDE w:val="0"/>
              <w:autoSpaceDN w:val="0"/>
              <w:adjustRightInd w:val="0"/>
              <w:spacing w:line="240" w:lineRule="auto" w:before="0" w:after="0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240" w:lineRule="auto" w:before="0" w:after="0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4817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spacing w:before="0" w:after="0" w:line="240" w:lineRule="auto"/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P修订日期：2023/03/8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spacing w:before="0" w:after="0" w:line="240" w:lineRule="auto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spacing w:before="0" w:after="0" w:line="240" w:lineRule="auto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  <w:t>/</w:t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</w:r>
        </w:p>
      </w:tc>
    </w:tr>
  </w:tbl>
  <w:p w14:paraId="00CCFC91">
    <w:pPr>
      <w:pStyle w:val="2"/>
      <w:spacing w:before="0" w:after="0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spacing w:before="0" w:after="0"/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spacing w:before="0" w:after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spacing w:before="0" w:after="0" w:line="240" w:lineRule="auto"/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PA-4817</w:t>
          </w:r>
        </w:p>
      </w:tc>
    </w:tr>
  </w:tbl>
  <w:p w14:paraId="24682DAE">
    <w:pPr>
      <w:spacing w:before="0" w:after="0"/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A4868"/>
    <w:rsid w:val="4B7137DB"/>
    <w:rsid w:val="4D46517C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2814</Words>
  <Characters>3257</Characters>
  <Lines>18</Lines>
  <Paragraphs>5</Paragraphs>
  <TotalTime>0</TotalTime>
  <ScaleCrop>false</ScaleCrop>
  <LinksUpToDate>false</LinksUpToDate>
  <CharactersWithSpaces>3466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2026-08-31T08:24:44Z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