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firstLine="482" w:firstLineChars="20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spacing w:line="30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羟基聚氨酯分散体 HPU-7660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 w:before="0" w:after="0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jc w:val="both"/>
              <w:rPr>
                <w:rFonts w:hint="default" w:eastAsia="宋体"/>
                <w:sz w:val="24"/>
                <w:lang w:val="en-US" w:eastAsia="zh-CN"/>
              </w:rPr>
              <w:spacing w:before="0" w:after="0"/>
            </w:pPr>
            <w:r>
              <w:rPr>
                <w:rFonts w:hint="eastAsia" w:hAnsi="Arial"/>
                <w:sz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jc w:val="both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 w:before="0" w:after="0"/>
              <w:jc w:val="both"/>
              <w:rPr>
                <w:rFonts w:cs="宋体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jc w:val="both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spacing w:line="30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根据GHS不属于危害化学品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spacing w:line="300" w:lineRule="auto" w:before="0" w:after="0"/>
              <w:jc w:val="left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根据GHS不属于危害化学品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 w:before="0" w:after="0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 w:before="0" w:after="0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 w:before="0" w:after="0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CAS</w:t>
            </w:r>
            <w:r>
              <w:rPr>
                <w:rFonts w:hint="eastAsia" w:hAnsi="Arial"/>
                <w:sz w:val="24"/>
                <w:lang w:val="en-US" w:eastAsia="zh-CN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含量</w:t>
            </w:r>
            <w:r>
              <w:rPr>
                <w:rFonts w:hint="eastAsia" w:hAnsi="Arial"/>
                <w:sz w:val="24"/>
                <w:lang w:val="en-US" w:eastAsia="zh-CN"/>
              </w:rPr>
              <w:t>%</w:t>
            </w:r>
            <w:r>
              <w:rPr>
                <w:rFonts w:hint="eastAsia" w:hAnsi="Arial"/>
                <w:sz w:val="24"/>
                <w:lang w:val="en-US" w:eastAsia="zh-CN"/>
              </w:rPr>
              <w:t>（</w:t>
            </w:r>
            <w:r>
              <w:rPr>
                <w:rFonts w:hint="eastAsia" w:hAnsi="Arial"/>
                <w:sz w:val="24"/>
                <w:lang w:val="en-US" w:eastAsia="zh-CN"/>
              </w:rPr>
              <w:t>w/w</w:t>
            </w:r>
            <w:r>
              <w:rPr>
                <w:rFonts w:hint="eastAsia" w:hAnsi="Arial"/>
                <w:sz w:val="24"/>
                <w:lang w:val="en-US" w:eastAsia="zh-CN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 w:before="0" w:after="0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＞35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 w:before="0" w:after="0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＞60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N,N-二甲基乙醇胺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 w:before="0" w:after="0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1-5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 w:before="0" w:after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二氧化碳（CO2），泡沫，灭火粉末，大火时应用喷洒水。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 w:before="0" w:after="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高流量的水喷射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燃烧时释放一氧化碳、二氧化碳、氮氧化物和少量的氰化氢。在着火或爆炸情况下，不要吸进烟尘。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 w:before="0" w:after="0"/>
              <w:rPr>
                <w:rFonts w:hint="eastAsia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戴防护设备。远离火源。确保充分的通风/排气。令未授权人员离开。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操作时遵守化学品的常见预防措施。避免与皮肤和眼睛接触。远离食物、饮料和烟草。休息以前和工作结束时洗手。将工作服单独存放。更换被污染或浸湿的衣物。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喷涂过程中要求有呼吸防护设备。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EN 374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E75161B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999751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B72AA6A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戴眼罩/面罩。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穿着适当的防护服。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透明至半透明液体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7-9（按1:10的比例用水稀释）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初沸点以下无闪点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 w:before="0" w:after="0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 w:before="0" w:after="0"/>
              <w:rPr>
                <w:sz w:val="24"/>
                <w:vertAlign w:val="superscript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可混溶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 w:before="0" w:after="0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约420℃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37±2%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spacing w:line="300" w:lineRule="auto" w:before="0" w:after="0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spacing w:line="30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该产品无可用的毒理学研究。下面是这些成分的毒理学数据。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vMerge w:val="restart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CFEB9F">
            <w:pPr>
              <w:keepNext w:val="0"/>
              <w:spacing w:line="300" w:lineRule="auto"/>
              <w:ind w:right="48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半数致死剂量（LD50）大鼠：＞2,000 mg/kg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方法：OECD化学品测试指南423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对类似产品的毒理学研究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vMerge w:val="continue"/>
            <w:tcBorders>
              <w:right w:val="dotted" w:color="auto" w:sz="4" w:space="0"/>
            </w:tcBorders>
            <w:vAlign w:val="center"/>
          </w:tcPr>
          <w:p w14:paraId="04F24CBA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B84786">
            <w:pPr>
              <w:keepNext w:val="0"/>
              <w:spacing w:line="300" w:lineRule="auto"/>
              <w:ind w:right="480"/>
              <w:jc w:val="center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评估：此物质或混合物无急性皮肤毒性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对类似产品的研究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vMerge w:val="continue"/>
            <w:tcBorders>
              <w:right w:val="dotted" w:color="auto" w:sz="4" w:space="0"/>
            </w:tcBorders>
            <w:vAlign w:val="center"/>
          </w:tcPr>
          <w:p w14:paraId="7BB29EF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39D3D3F">
            <w:pPr>
              <w:keepNext w:val="0"/>
              <w:spacing w:line="300" w:lineRule="auto"/>
              <w:ind w:right="480"/>
              <w:jc w:val="center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试验环境：粉尘/烟雾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评估：此物质或混合物无急性呼吸毒性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方法：OECD化学品测试指南403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对类似产品的研究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物种：家兔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结果：轻微刺激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分类：无皮肤刺激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方法：OECD化学品测试指南404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物种：家兔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结果：轻微刺激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分类：无眼睛刺激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方法：OECD化学品测试指南405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 w:before="0" w:after="0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Buehler（经皮试验）：物种：豚鼠；结果：阴性；分类：不引起皮肤过敏；方法：OECD化学品测试指南406；对类似产品研究。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局部淋巴结试验（LLNA）：物种：小鼠；结果：阴性；分类：不引起皮肤过敏；方法：OECD化学品测试指南429；对类似产品研究。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 w:before="0" w:after="0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测试种类：沙门氏菌/微粒体试验（Ames试验）；代谢活化：有/无；结果：阴性；方法：OECD化学品测试指南471；对类似产品研究。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测试种类：体外染色体畸变试验；代谢活化：有/无；结果：阴性；方法：OECD化学品测试指南473；对类似产品研究。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 w:before="0" w:after="0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聚氨酯分散体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STOT评估-一次性接触：基于现有数据，未满足分类标准。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 w:before="0" w:after="0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 w:before="0" w:after="0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生物降解性：＜60%，28d，该产品不易生物降解。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方法：OECD化学品测试指南301D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对类似产品的研究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 w:before="0" w:after="0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必须遵守适用的国标、国家或当地法规进行废弃。在欧盟领域内废弃，应根据欧洲废弃物分类（EWC）的适当法规。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尽可能将容器倒空（例如经倾倒，刮擦或排干直至“滴干”）。可根据化学工业现存的回收方案送往适当的收集点处理。容器应按照国家法令和环境相关法规进行回收。不能将废弃物通过废水排放。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 w:before="0" w:after="0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 w:before="0" w:after="0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危险化学品安全管理条例，国务院令</w:t>
            </w:r>
            <w:r>
              <w:rPr>
                <w:rFonts w:hint="eastAsia" w:hAnsi="Arial"/>
                <w:sz w:val="24"/>
                <w:lang w:val="en-US" w:eastAsia="zh-CN"/>
              </w:rPr>
              <w:t>591</w:t>
            </w:r>
            <w:r>
              <w:rPr>
                <w:rFonts w:hint="eastAsia" w:hAnsi="Arial"/>
                <w:sz w:val="24"/>
                <w:lang w:val="en-US" w:eastAsia="zh-CN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GB/T 16483 </w:t>
            </w:r>
            <w:r>
              <w:rPr>
                <w:rFonts w:hint="eastAsia" w:hAnsi="Arial"/>
                <w:sz w:val="24"/>
                <w:lang w:val="en-US" w:eastAsia="zh-CN"/>
              </w:rPr>
              <w:t>化学品安全技术说明书内容和项目顺序</w:t>
            </w:r>
          </w:p>
        </w:tc>
      </w:tr>
      <w:tr w14:paraId="383D9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 13690 </w:t>
            </w:r>
            <w:r>
              <w:rPr>
                <w:rFonts w:hint="eastAsia" w:hAnsi="Arial"/>
                <w:sz w:val="24"/>
                <w:lang w:val="en-US" w:eastAsia="zh-CN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 </w:t>
            </w:r>
            <w:r>
              <w:rPr>
                <w:rFonts w:hint="eastAsia" w:hAnsi="Arial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HPU-7660-MSDS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 xml:space="preserve">P修订日期：2023年09月27日  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</w:r>
          <w:fldSimple w:instr="PAGE">
            <w:r>
              <w:rPr>
                <w:rFonts w:ascii="Arial" w:eastAsia="楷体_GB2312"/>
                <w:kern w:val="0"/>
              </w:rPr>
              <w:t>1</w:t>
            </w:r>
          </w:fldSimple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</w:r>
          <w:fldSimple w:instr="NUMPAGES">
            <w:r>
              <w:rPr>
                <w:rFonts w:ascii="Arial" w:eastAsia="楷体_GB2312"/>
                <w:kern w:val="0"/>
              </w:rPr>
              <w:t>1</w:t>
            </w:r>
          </w:fldSimple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HPU-7660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A4868"/>
    <w:rsid w:val="4B7137DB"/>
    <w:rsid w:val="4D46517C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2814</Words>
  <Characters>3257</Characters>
  <Lines>18</Lines>
  <Paragraphs>5</Paragraphs>
  <TotalTime>0</TotalTime>
  <ScaleCrop>false</ScaleCrop>
  <LinksUpToDate>false</LinksUpToDate>
  <CharactersWithSpaces>3466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2026-08-31T09:34:03Z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