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numPr>
                <w:ilvl w:val="0"/>
                <w:numId w:val="1"/>
              </w:num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Identification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</w:t>
            </w:r>
            <w:r>
              <w:rPr>
                <w:rFonts w:hAnsi="Arial" w:cs="Arial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name：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/>
                <w:b/>
                <w:sz w:val="24"/>
              </w:rPr>
              <w:t>Chemical category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此处填写化学品分类名称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P</w:t>
            </w:r>
            <w:r>
              <w:rPr>
                <w:rFonts w:hAnsi="Arial"/>
                <w:b/>
                <w:sz w:val="24"/>
              </w:rPr>
              <w:t>roduct use suggestions and restrictions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此处填写使用建议和使用限制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</w:t>
            </w:r>
            <w:r>
              <w:rPr>
                <w:rFonts w:hAnsi="Arial" w:cs="Arial"/>
                <w:b/>
                <w:bCs/>
                <w:kern w:val="0"/>
                <w:sz w:val="24"/>
              </w:rPr>
              <w:t>upplier information: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Name of supplier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Supplier address: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地址：广州市萝岗区科学城掬泉路3号广州国际企业孵化器A区1106室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Tel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Ansi="Arial" w:cs="Arial"/>
                <w:b/>
                <w:bCs/>
                <w:kern w:val="0"/>
                <w:sz w:val="24"/>
              </w:rPr>
              <w:t>Fax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numPr>
                <w:ilvl w:val="0"/>
                <w:numId w:val="0"/>
              </w:numPr>
              <w:spacing w:line="300" w:lineRule="auto"/>
              <w:ind w:right="480" w:right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hint="eastAsia" w:hAnsi="Arial"/>
                <w:b/>
                <w:sz w:val="24"/>
              </w:rPr>
              <w:t>Hazards</w:t>
            </w:r>
            <w:r>
              <w:rPr>
                <w:rFonts w:hAnsi="Arial"/>
                <w:b/>
                <w:sz w:val="24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Identification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B9FE21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Emergency Overview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2BD6BEE"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65585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Hazard</w:t>
            </w:r>
          </w:p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Classification：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Label Elements：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 Pictograms：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Signal Word：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Hazard Statements：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  </w:t>
            </w:r>
            <w:r>
              <w:rPr>
                <w:rFonts w:hint="eastAsia" w:hAnsi="Arial"/>
                <w:b/>
                <w:sz w:val="24"/>
              </w:rPr>
              <w:t>Precautionary Statements：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400FB0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2.7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Physical and Chemical Hazards：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56968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Health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360AE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吸入：</w:t>
            </w:r>
          </w:p>
        </w:tc>
      </w:tr>
      <w:tr w14:paraId="5481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497D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F3DC5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食入：</w:t>
            </w:r>
          </w:p>
        </w:tc>
      </w:tr>
      <w:tr w14:paraId="4F5F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2E0B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16CC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皮肤：</w:t>
            </w:r>
          </w:p>
        </w:tc>
      </w:tr>
      <w:tr w14:paraId="7671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A3CE7B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AD1F4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眼睛：</w:t>
            </w:r>
          </w:p>
        </w:tc>
      </w:tr>
      <w:tr w14:paraId="2FBC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9569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2671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症状和体征：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Environmental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3621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如：对水生生物有毒。</w:t>
            </w:r>
            <w:r>
              <w:rPr>
                <w:rFonts w:hint="default" w:hAnsi="Arial" w:cs="Arial"/>
                <w:kern w:val="0"/>
                <w:sz w:val="24"/>
                <w:lang w:val="en-US" w:eastAsia="zh-CN"/>
              </w:rPr>
              <w:t>可能对水生环境造成长期有害影响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2.10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Other Hazards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dotted" w:color="auto" w:sz="4" w:space="0"/>
            </w:tcBorders>
            <w:shd w:val="clear" w:color="auto" w:fill="D9D9D9"/>
          </w:tcPr>
          <w:p w14:paraId="09B56990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3.</w:t>
            </w:r>
            <w:r>
              <w:rPr>
                <w:rFonts w:hint="eastAsia" w:hAnsi="Arial"/>
                <w:b/>
                <w:sz w:val="24"/>
              </w:rPr>
              <w:t>Composition/Information on Ingredients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leftChars="0" w:right="34" w:rightChars="0" w:hanging="459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3.1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Product type：</w:t>
            </w:r>
          </w:p>
        </w:tc>
        <w:tc>
          <w:tcPr>
            <w:tcW w:w="6262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leftChars="0" w:right="34" w:righ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3.2  </w:t>
            </w:r>
            <w:r>
              <w:rPr>
                <w:rFonts w:hint="eastAsia"/>
                <w:b/>
                <w:sz w:val="24"/>
              </w:rPr>
              <w:t>Ingredients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Chemical name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rFonts w:hint="eastAsia"/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CAS NO.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rFonts w:hint="eastAsia"/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Concentration % (w/w)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成分1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n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成分2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4.</w:t>
            </w:r>
            <w:r>
              <w:rPr>
                <w:b/>
                <w:sz w:val="24"/>
              </w:rPr>
              <w:t>First aid measures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4.1  </w:t>
            </w:r>
            <w:r>
              <w:rPr>
                <w:rFonts w:hint="eastAsia"/>
                <w:b/>
                <w:sz w:val="24"/>
              </w:rPr>
              <w:t>General measures：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Ingestion：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Eye contact：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Skin contact：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Inhalation：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5.</w:t>
            </w:r>
            <w:r>
              <w:rPr>
                <w:b/>
                <w:sz w:val="24"/>
              </w:rPr>
              <w:t>Fire fighting measures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6ED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5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Suitable extinguishing</w:t>
            </w:r>
          </w:p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agents：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F231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leftChars="0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Unsuitable extinguishing</w:t>
            </w:r>
          </w:p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agents：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E811E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 xml:space="preserve">Special hazards </w:t>
            </w:r>
            <w:r>
              <w:rPr>
                <w:rFonts w:hint="eastAsia"/>
                <w:b/>
                <w:sz w:val="24"/>
                <w:lang w:val="en-US" w:eastAsia="zh-CN"/>
              </w:rPr>
              <w:t>of</w:t>
            </w:r>
          </w:p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substances or mixtures：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B36C9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Firefighting precautions</w:t>
            </w:r>
          </w:p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protective equipment：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6.</w:t>
            </w:r>
            <w:r>
              <w:rPr>
                <w:b/>
                <w:sz w:val="24"/>
              </w:rPr>
              <w:t>Measures for accidental leakage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nil"/>
            </w:tcBorders>
            <w:vAlign w:val="center"/>
          </w:tcPr>
          <w:p w14:paraId="729B33C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hanging="632" w:hangingChars="3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Firefighting precautions</w:t>
            </w:r>
          </w:p>
          <w:p w14:paraId="4FA2DD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protective equipment：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nil"/>
            </w:tcBorders>
            <w:vAlign w:val="center"/>
          </w:tcPr>
          <w:p w14:paraId="56EF71D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Environmental</w:t>
            </w:r>
          </w:p>
          <w:p w14:paraId="2CE602C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precautions：</w:t>
            </w:r>
          </w:p>
        </w:tc>
        <w:tc>
          <w:tcPr>
            <w:tcW w:w="6262" w:type="dxa"/>
            <w:tcBorders>
              <w:top w:val="dotted" w:color="auto" w:sz="4" w:space="0"/>
              <w:left w:val="nil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nil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Methods and material for</w:t>
            </w: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containment and cleaning up：</w:t>
            </w:r>
          </w:p>
        </w:tc>
        <w:tc>
          <w:tcPr>
            <w:tcW w:w="6262" w:type="dxa"/>
            <w:tcBorders>
              <w:top w:val="dotted" w:color="auto" w:sz="4" w:space="0"/>
              <w:left w:val="nil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7.</w:t>
            </w:r>
            <w:r>
              <w:rPr>
                <w:b/>
                <w:sz w:val="24"/>
              </w:rPr>
              <w:t>Operation and storage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lef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/>
                <w:b/>
                <w:sz w:val="24"/>
              </w:rPr>
              <w:t>Precautions for safe handling：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leftChars="0" w:hanging="459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>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Conditions for safe storage：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8.</w:t>
            </w:r>
            <w:r>
              <w:rPr>
                <w:b/>
                <w:sz w:val="24"/>
              </w:rPr>
              <w:t>Exposure control / personal protection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Exposure controls：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Respiratory protection：</w:t>
            </w:r>
          </w:p>
        </w:tc>
        <w:tc>
          <w:tcPr>
            <w:tcW w:w="6341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Hand protection: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79" w:leftChars="228" w:firstLine="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Suitable material for protective gloves：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Fluororubber – FKM: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Butyl rubber – IIR：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Nitrile rubber – NBR：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Recommendation: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Eye protection：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Body protection：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  <w:cantSplit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Engineering controls：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使用局部排风或全面通风，保持工作场所空气中浓度低于职业接触限值；工作场所设置洗眼器与安全淋浴设施。</w:t>
            </w:r>
          </w:p>
          <w:tbl>
            <w:tblPr>
              <w:tblStyle w:val="5"/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400"/>
              <w:gridCol w:w="1100"/>
              <w:gridCol w:w="1100"/>
              <w:gridCol w:w="1600"/>
            </w:tblGrid>
            <w:tr>
              <w:tc>
                <w:tcPr>
                  <w:tcW w:type="dxa" w:w="2400"/>
                  <w:vAlign w:val="center"/>
                </w:tcPr>
                <w:p>
                  <w:r>
                    <w:rPr>
                      <w:sz w:val="24"/>
                    </w:rPr>
                    <w:t>Substance</w:t>
                  </w:r>
                </w:p>
              </w:tc>
              <w:tc>
                <w:tcPr>
                  <w:tcW w:type="dxa" w:w="1100"/>
                  <w:vAlign w:val="center"/>
                </w:tcPr>
                <w:p>
                  <w:r>
                    <w:rPr>
                      <w:sz w:val="24"/>
                    </w:rPr>
                    <w:t>Basis</w:t>
                  </w:r>
                </w:p>
              </w:tc>
              <w:tc>
                <w:tcPr>
                  <w:tcW w:type="dxa" w:w="1100"/>
                  <w:vAlign w:val="center"/>
                </w:tcPr>
                <w:p>
                  <w:r>
                    <w:rPr>
                      <w:sz w:val="24"/>
                    </w:rPr>
                    <w:t>Type</w:t>
                  </w:r>
                </w:p>
              </w:tc>
              <w:tc>
                <w:tcPr>
                  <w:tcW w:type="dxa" w:w="1600"/>
                  <w:vAlign w:val="center"/>
                </w:tcPr>
                <w:p>
                  <w:r>
                    <w:rPr>
                      <w:sz w:val="24"/>
                    </w:rPr>
                    <w:t>Value</w:t>
                  </w:r>
                </w:p>
              </w:tc>
            </w:tr>
            <w:tr>
              <w:tc>
                <w:tcPr>
                  <w:tcW w:type="dxa" w:w="2400"/>
                  <w:vAlign w:val="center"/>
                </w:tcPr>
                <w:p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100"/>
                  <w:vAlign w:val="center"/>
                </w:tcPr>
                <w:p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100"/>
                  <w:vAlign w:val="center"/>
                </w:tcPr>
                <w:p>
                  <w:r>
                    <w:rPr>
                      <w:sz w:val="24"/>
                    </w:rPr>
                  </w:r>
                </w:p>
              </w:tc>
              <w:tc>
                <w:tcPr>
                  <w:tcW w:type="dxa" w:w="1600"/>
                  <w:vAlign w:val="center"/>
                </w:tcPr>
                <w:p>
                  <w:r>
                    <w:rPr>
                      <w:sz w:val="24"/>
                    </w:rPr>
                  </w:r>
                </w:p>
              </w:tc>
            </w:tr>
          </w:tbl>
          <w:p/>
        </w:tc>
      </w:tr>
    </w:tbl>
    <w:p w14:paraId="0FA51CC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9.</w:t>
            </w:r>
            <w:r>
              <w:rPr>
                <w:b/>
                <w:sz w:val="24"/>
              </w:rPr>
              <w:t>Physical and chemical properties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Appearance：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Odour threshold：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9.3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 value：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9.4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Ionicity：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9.5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Initial boiling point：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9.6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Flash point：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9.7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Evaporation rate：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9.8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Flammability：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Heat of combustion：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4C42F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32" w:leftChars="0" w:hanging="632" w:hangingChars="30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Saturated vapour</w:t>
            </w:r>
          </w:p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722" w:leftChars="229" w:hanging="241" w:hangingChars="1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pressure：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Relative vapour density：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Density：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Solubility in water：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Surface tension：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9E7A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log Pow (n-octanol/water</w:t>
            </w:r>
          </w:p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partition coefficient)：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88F3C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9.16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Auto-ignition</w:t>
            </w:r>
          </w:p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9.17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Ignition 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2E781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9.18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Decomposition</w:t>
            </w:r>
          </w:p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temperature：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9.19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Dynamic viscosity：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9.20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Explosive properties：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Dust explosion class：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Solid content：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9.24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Other information：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</w:tbl>
    <w:p w14:paraId="5DA7B6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10.</w:t>
            </w:r>
            <w:r>
              <w:rPr>
                <w:b/>
                <w:sz w:val="24"/>
              </w:rPr>
              <w:t>Stability and reactivity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Chemical stability：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Hazardous decomposition products：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Possible hazardous reactions：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7860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Conditions to avoid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8B73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D5C1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10.5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Incompatible materials：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1201E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</w:tbl>
    <w:p w14:paraId="1BC35B7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924"/>
        <w:gridCol w:w="75"/>
        <w:gridCol w:w="4263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11.</w:t>
            </w:r>
            <w:r>
              <w:rPr>
                <w:b/>
                <w:sz w:val="24"/>
              </w:rPr>
              <w:t>Toxicity information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Acute toxicity：</w:t>
            </w:r>
          </w:p>
        </w:tc>
        <w:tc>
          <w:tcPr>
            <w:tcW w:w="192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Oral:</w:t>
            </w:r>
          </w:p>
        </w:tc>
        <w:tc>
          <w:tcPr>
            <w:tcW w:w="4338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半数致死剂量（LD50）/大鼠：约3,306 mg/kg。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2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both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Inhalatio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n</w:t>
            </w:r>
            <w:r>
              <w:rPr>
                <w:rFonts w:hint="eastAsia" w:hAnsi="Arial"/>
                <w:b/>
                <w:sz w:val="24"/>
              </w:rPr>
              <w:t>:</w:t>
            </w:r>
          </w:p>
        </w:tc>
        <w:tc>
          <w:tcPr>
            <w:tcW w:w="4338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半数致死浓度（LC50）/4 h/大鼠： ＞1.5 mg/L（气溶胶）。 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24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both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Dermal:</w:t>
            </w:r>
          </w:p>
        </w:tc>
        <w:tc>
          <w:tcPr>
            <w:tcW w:w="4338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半数致死剂量（LD50）/兔：2,764 mg/kg。</w:t>
            </w:r>
          </w:p>
        </w:tc>
      </w:tr>
      <w:tr w14:paraId="2B06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ED06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FC9C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Primary skin irritation：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Primary eye irritation：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Sensitization：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Mutagenicity：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Carcinogenicity：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2E5A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Reproductive toxicity：</w:t>
            </w:r>
          </w:p>
        </w:tc>
        <w:tc>
          <w:tcPr>
            <w:tcW w:w="1999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eastAsia" w:hAnsi="Arial" w:eastAsia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Fertility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42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99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hAnsi="Arial"/>
                <w:b/>
                <w:sz w:val="24"/>
              </w:rPr>
              <w:t>Teratogenicity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42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99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lang w:eastAsia="zh-CN"/>
              </w:rPr>
            </w:pPr>
            <w:r>
              <w:rPr>
                <w:rFonts w:hint="eastAsia" w:hAnsi="Arial"/>
                <w:b/>
                <w:sz w:val="24"/>
              </w:rPr>
              <w:t>In vitro genotoxicity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  <w:bookmarkStart w:id="0" w:name="_GoBack"/>
            <w:bookmarkEnd w:id="0"/>
          </w:p>
        </w:tc>
        <w:tc>
          <w:tcPr>
            <w:tcW w:w="426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ACDD9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Specific target organ</w:t>
            </w:r>
          </w:p>
          <w:p w14:paraId="79F4137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3" w:leftChars="244" w:hanging="161" w:hangingChars="67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toxicity (single/repeated</w:t>
            </w:r>
          </w:p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3" w:leftChars="244" w:hanging="161" w:hangingChars="67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exposure)：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Aspiration hazard：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11.10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Additional information：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12.</w:t>
            </w:r>
            <w:r>
              <w:rPr>
                <w:b/>
                <w:sz w:val="24"/>
              </w:rPr>
              <w:t>Ecological information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Ecotoxicity：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  <w:p w14:paraId="6D87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1BA672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3F5838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Persistence and</w:t>
            </w:r>
          </w:p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79" w:leftChars="229" w:hanging="198" w:hangingChars="8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degradability：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Other adverse effects：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13.</w:t>
            </w:r>
            <w:r>
              <w:rPr>
                <w:b/>
                <w:sz w:val="24"/>
              </w:rPr>
              <w:t>Handling precautions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Disposal methods：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D6DDD14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14.</w:t>
            </w:r>
            <w:r>
              <w:rPr>
                <w:b/>
                <w:sz w:val="24"/>
              </w:rPr>
              <w:t>Transportation information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Road and rail transport：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Maritime transport：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Air transport：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hAnsi="Arial" w:cs="Times New Roman"/>
                <w:b/>
                <w:kern w:val="2"/>
                <w:sz w:val="52"/>
                <w:szCs w:val="52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Special precautions for user：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3A799781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15.</w:t>
            </w:r>
            <w:r>
              <w:rPr>
                <w:b/>
                <w:sz w:val="24"/>
              </w:rPr>
              <w:t>Regulatory information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Relevant safety, health and environmental regulations for the substance or mixture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Other provisions：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Complies with the following regulations：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 w14:paraId="7FDBD15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numPr>
                <w:ilvl w:val="0"/>
                <w:numId w:val="0"/>
              </w:numPr>
              <w:spacing w:line="300" w:lineRule="auto"/>
              <w:ind w:left="0" w:leftChars="0" w:right="480" w:rightChars="0" w:firstLine="0" w:firstLineChars="0"/>
              <w:rPr>
                <w:b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16.</w:t>
            </w:r>
            <w:r>
              <w:rPr>
                <w:b/>
                <w:sz w:val="24"/>
              </w:rPr>
              <w:t>Other information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18A7590F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6CE529"/>
    <w:multiLevelType w:val="singleLevel"/>
    <w:tmpl w:val="626CE5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6E4C7E"/>
    <w:rsid w:val="389D13B9"/>
    <w:rsid w:val="390D26CF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9C34192"/>
    <w:rsid w:val="4B7137DB"/>
    <w:rsid w:val="4D46517C"/>
    <w:rsid w:val="4DC32E11"/>
    <w:rsid w:val="4EB83E58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2443</Words>
  <Characters>4830</Characters>
  <Lines>18</Lines>
  <Paragraphs>5</Paragraphs>
  <TotalTime>6</TotalTime>
  <ScaleCrop>false</ScaleCrop>
  <LinksUpToDate>false</LinksUpToDate>
  <CharactersWithSpaces>5184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2026-09-03T07:34:49Z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20AAA7BD947541F49093F44D20F2B294_13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