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 w14:paraId="129874AF">
      <w:pPr>
        <w:spacing w:line="0" w:lineRule="atLeast"/>
        <w:rPr>
          <w:rFonts w:ascii="微软雅黑" w:hAnsi="微软雅黑" w:eastAsia="微软雅黑"/>
          <w:b/>
          <w:sz w:val="24"/>
          <w:szCs w:val="24"/>
        </w:rPr>
      </w:pPr>
      <w:bookmarkStart w:id="0" w:name="_GoBack"/>
      <w:bookmarkEnd w:id="0"/>
      <w:r>
        <w:t xml:space="preserve"> </w:t>
      </w:r>
      <w:r>
        <w:rPr>
          <w:rFonts w:ascii="微软雅黑" w:hAnsi="微软雅黑" w:eastAsia="微软雅黑"/>
          <w:b/>
          <w:sz w:val="24"/>
          <w:szCs w:val="24"/>
        </w:rPr>
        <w:t>Yingde Guocai Fine Chemical</w:t>
      </w:r>
      <w:r>
        <w:rPr>
          <w:rFonts w:hint="eastAsia" w:ascii="微软雅黑" w:hAnsi="微软雅黑" w:eastAsia="微软雅黑"/>
          <w:b/>
          <w:sz w:val="24"/>
          <w:szCs w:val="24"/>
        </w:rPr>
        <w:t xml:space="preserve"> Limited Company</w:t>
      </w:r>
    </w:p>
    <w:p w14:paraId="6A98244B">
      <w:pPr>
        <w:spacing w:line="43" w:lineRule="exact"/>
        <w:rPr>
          <w:rFonts w:ascii="微软雅黑" w:hAnsi="微软雅黑" w:eastAsia="微软雅黑"/>
          <w:sz w:val="24"/>
        </w:rPr>
      </w:pPr>
    </w:p>
    <w:p w14:paraId="29CE9392">
      <w:pPr>
        <w:tabs>
          <w:tab w:val="left" w:pos="3360"/>
        </w:tabs>
        <w:spacing w:line="0" w:lineRule="atLeast"/>
        <w:rPr>
          <w:rFonts w:ascii="微软雅黑" w:hAnsi="微软雅黑" w:eastAsia="微软雅黑"/>
          <w:sz w:val="18"/>
        </w:rPr>
      </w:pPr>
      <w:r>
        <w:rPr>
          <w:rFonts w:hint="eastAsia" w:ascii="微软雅黑" w:hAnsi="微软雅黑" w:eastAsia="微软雅黑"/>
          <w:sz w:val="18"/>
        </w:rPr>
        <w:t>Tel</w:t>
      </w:r>
      <w:r>
        <w:rPr>
          <w:rFonts w:ascii="微软雅黑" w:hAnsi="微软雅黑" w:eastAsia="微软雅黑"/>
          <w:sz w:val="18"/>
        </w:rPr>
        <w:t>：86-763-2811205</w:t>
      </w:r>
      <w:r>
        <w:rPr>
          <w:rFonts w:ascii="微软雅黑" w:hAnsi="微软雅黑" w:eastAsia="微软雅黑"/>
        </w:rPr>
        <w:tab/>
      </w:r>
      <w:r>
        <w:rPr>
          <w:rFonts w:hint="eastAsia" w:ascii="微软雅黑" w:hAnsi="微软雅黑" w:eastAsia="微软雅黑"/>
          <w:sz w:val="18"/>
        </w:rPr>
        <w:t>Fax</w:t>
      </w:r>
      <w:r>
        <w:rPr>
          <w:rFonts w:ascii="微软雅黑" w:hAnsi="微软雅黑" w:eastAsia="微软雅黑"/>
          <w:sz w:val="18"/>
        </w:rPr>
        <w:t>：86-763-2811024</w:t>
      </w:r>
    </w:p>
    <w:p w14:paraId="41A3A929">
      <w:pPr>
        <w:spacing w:line="14" w:lineRule="exact"/>
        <w:rPr>
          <w:rFonts w:ascii="微软雅黑" w:hAnsi="微软雅黑" w:eastAsia="微软雅黑"/>
          <w:sz w:val="24"/>
        </w:rPr>
      </w:pPr>
    </w:p>
    <w:p w14:paraId="0AFB5713">
      <w:pPr>
        <w:spacing w:line="0" w:lineRule="atLeast"/>
        <w:rPr>
          <w:rFonts w:ascii="微软雅黑" w:hAnsi="微软雅黑" w:eastAsia="微软雅黑"/>
          <w:sz w:val="18"/>
        </w:rPr>
      </w:pPr>
      <w:r>
        <w:rPr>
          <w:rFonts w:hint="eastAsia" w:ascii="微软雅黑" w:hAnsi="微软雅黑" w:eastAsia="微软雅黑"/>
          <w:sz w:val="18"/>
        </w:rPr>
        <w:t>Address</w:t>
      </w:r>
      <w:r>
        <w:rPr>
          <w:rFonts w:ascii="微软雅黑" w:hAnsi="微软雅黑" w:eastAsia="微软雅黑"/>
          <w:sz w:val="18"/>
        </w:rPr>
        <w:t>：Kaidi Industrial Park, genggukeng, Taiping Village, Baisha Town, Yingde City, Guangdong Province</w:t>
      </w:r>
    </w:p>
    <w:p w14:paraId="4DB29929">
      <w:pPr>
        <w:spacing w:line="200" w:lineRule="exact"/>
        <w:rPr>
          <w:rFonts w:ascii="Times New Roman" w:hAnsi="Times New Roman" w:eastAsia="Times New Roman"/>
          <w:sz w:val="24"/>
        </w:rPr>
      </w:pPr>
      <w:r>
        <w:rPr>
          <w:rFonts w:ascii="宋体" w:hAnsi="宋体"/>
          <w:sz w:val="18"/>
        </w:rPr>
        <w:pict>
          <v:line id="_x0000_s1028" o:spid="_x0000_s1028" o:spt="20" style="position:absolute;left:0pt;margin-left:-1.75pt;margin-top:13.1pt;height:0pt;width:484.85pt;z-index:-251657216;mso-width-relative:page;mso-height-relative:page;" coordsize="21600,21600" o:allowincell="f">
            <v:path arrowok="t"/>
            <v:fill focussize="0,0"/>
            <v:stroke weight="0.71992125984252pt"/>
            <v:imagedata o:title=""/>
            <o:lock v:ext="edit"/>
          </v:line>
        </w:pict>
      </w:r>
    </w:p>
    <w:p w14:paraId="6F8B29FE">
      <w:pPr>
        <w:spacing w:line="279" w:lineRule="exact"/>
        <w:rPr>
          <w:rFonts w:hint="eastAsia" w:ascii="Times New Roman" w:hAnsi="Times New Roman" w:eastAsia="等线"/>
          <w:sz w:val="24"/>
        </w:rPr>
      </w:pPr>
    </w:p>
    <w:p w14:paraId="68706A7C">
      <w:pPr>
        <w:spacing w:line="0" w:lineRule="atLeast"/>
        <w:jc w:val="center"/>
        <w:rPr>
          <w:rFonts w:ascii="Times New Roman" w:hAnsi="Times New Roman" w:eastAsia="宋体" w:cs="Times New Roman"/>
          <w:b/>
          <w:sz w:val="32"/>
        </w:rPr>
      </w:pPr>
      <w:r>
        <w:rPr>
          <w:rFonts w:cs="Times New Roman"/>
          <w:b/>
          <w:sz w:val="32"/>
        </w:rPr>
        <w:t>Aliphatic Polyurethane Adhesive Resin PU-1001</w:t>
      </w:r>
    </w:p>
    <w:p w14:paraId="5D304D5D">
      <w:pPr>
        <w:spacing w:line="269" w:lineRule="exact"/>
        <w:rPr>
          <w:rFonts w:ascii="Times New Roman" w:hAnsi="Times New Roman" w:eastAsia="Times New Roman" w:cs="Times New Roman"/>
          <w:sz w:val="24"/>
        </w:rPr>
      </w:pPr>
    </w:p>
    <w:p w14:paraId="77881A80">
      <w:pPr>
        <w:spacing w:line="0" w:lineRule="atLeast"/>
        <w:rPr>
          <w:rFonts w:ascii="宋体" w:hAnsi="宋体" w:eastAsia="宋体" w:cs="Times New Roman"/>
          <w:b/>
          <w:sz w:val="28"/>
        </w:rPr>
      </w:pPr>
      <w:r>
        <w:rPr>
          <w:rFonts w:ascii="宋体" w:hAnsi="宋体" w:eastAsia="宋体" w:cs="Times New Roman"/>
          <w:b/>
          <w:sz w:val="28"/>
        </w:rPr>
        <w:t>Product Description</w:t>
      </w:r>
    </w:p>
    <w:p w14:paraId="0B0D8178">
      <w:pPr>
        <w:spacing w:line="0" w:lineRule="atLeast"/>
        <w:rPr>
          <w:rFonts w:ascii="宋体" w:hAnsi="宋体" w:cs="宋体"/>
          <w:b/>
          <w:sz w:val="11"/>
          <w:szCs w:val="4"/>
        </w:rPr>
      </w:pPr>
    </w:p>
    <w:p w14:paraId="438345DC">
      <w:pPr>
        <w:spacing w:line="324" w:lineRule="auto"/>
        <w:ind w:left="0" w:leftChars="0" w:right="0" w:rightChars="0" w:firstLineChars="200"/>
        <w:rPr>
          <w:rFonts w:hint="eastAsia" w:ascii="Times New Roman" w:hAnsi="Times New Roman" w:cs="Times New Roman"/>
          <w:sz w:val="24"/>
        </w:rPr>
      </w:pPr>
      <w:r>
        <w:rPr>
          <w:rFonts w:hint="eastAsia" w:ascii="Times New Roman" w:hAnsi="Times New Roman" w:cs="Times New Roman"/>
          <w:sz w:val="24"/>
        </w:rPr>
        <w:t>PU-1001 is an aliphatic anionic waterborne polyurethane dispersion with strong adhesion, used to improve interlayer adhesion.</w:t>
      </w:r>
    </w:p>
    <w:p w14:paraId="1C71F483">
      <w:pPr>
        <w:spacing w:line="0" w:lineRule="atLeast"/>
        <w:rPr>
          <w:rFonts w:ascii="宋体" w:hAnsi="宋体" w:eastAsia="宋体" w:cs="Times New Roman"/>
          <w:b/>
          <w:sz w:val="28"/>
        </w:rPr>
      </w:pPr>
      <w:r>
        <w:rPr>
          <w:rFonts w:ascii="宋体" w:hAnsi="宋体" w:eastAsia="宋体" w:cs="Times New Roman"/>
          <w:b/>
          <w:sz w:val="28"/>
        </w:rPr>
        <w:t>Supply Form</w:t>
      </w:r>
    </w:p>
    <w:p w14:paraId="4FEDC469">
      <w:pPr>
        <w:tabs>
          <w:tab w:val="left" w:pos="832"/>
        </w:tabs>
        <w:spacing w:line="0" w:lineRule="atLeast"/>
        <w:rPr>
          <w:rFonts w:hint="eastAsia" w:ascii="宋体" w:hAnsi="宋体" w:eastAsia="宋体" w:cs="宋体"/>
          <w:b/>
          <w:sz w:val="10"/>
          <w:szCs w:val="2"/>
          <w:lang w:eastAsia="zh-CN"/>
        </w:rPr>
      </w:pPr>
      <w:r>
        <w:rPr>
          <w:rFonts w:hint="eastAsia" w:ascii="宋体" w:hAnsi="宋体" w:cs="宋体"/>
          <w:b/>
          <w:sz w:val="13"/>
          <w:szCs w:val="6"/>
          <w:lang w:eastAsia="zh-CN"/>
        </w:rPr>
        <w:tab/>
      </w:r>
    </w:p>
    <w:p w14:paraId="0561D5F0">
      <w:pPr>
        <w:spacing w:line="324" w:lineRule="auto"/>
        <w:ind w:left="0" w:leftChars="0" w:right="0" w:rightChars="0" w:firstLineChars="200"/>
        <w:rPr>
          <w:rFonts w:hint="eastAsia" w:ascii="Times New Roman" w:hAnsi="Times New Roman" w:cs="Times New Roman"/>
          <w:sz w:val="24"/>
        </w:rPr>
      </w:pPr>
      <w:r>
        <w:rPr>
          <w:rFonts w:hint="eastAsia" w:ascii="Times New Roman" w:hAnsi="Times New Roman" w:cs="Times New Roman"/>
          <w:sz w:val="24"/>
        </w:rPr>
        <w:t>Approx. 22% solids aqueous dispersion.</w:t>
      </w:r>
    </w:p>
    <w:p w14:paraId="4D409606">
      <w:pPr>
        <w:spacing w:line="0" w:lineRule="atLeast"/>
        <w:rPr>
          <w:rFonts w:ascii="宋体" w:hAnsi="宋体" w:eastAsia="宋体" w:cs="Times New Roman"/>
          <w:b/>
          <w:sz w:val="28"/>
        </w:rPr>
      </w:pPr>
      <w:r>
        <w:rPr>
          <w:rFonts w:ascii="宋体" w:hAnsi="宋体" w:eastAsia="宋体" w:cs="Times New Roman"/>
          <w:b/>
          <w:sz w:val="28"/>
        </w:rPr>
        <w:t>Technical Data</w:t>
      </w:r>
    </w:p>
    <w:p w14:paraId="4FE0BC59">
      <w:pPr>
        <w:spacing w:line="213" w:lineRule="exact"/>
        <w:rPr>
          <w:rFonts w:ascii="Times New Roman" w:hAnsi="Times New Roman" w:eastAsia="Times New Roman" w:cs="Times New Roman"/>
          <w:sz w:val="13"/>
          <w:szCs w:val="8"/>
        </w:rPr>
      </w:pPr>
    </w:p>
    <w:tbl>
      <w:tblPr>
        <w:tblStyle w:val="5"/>
        <w:tblW w:w="4458" w:type="pct"/>
        <w:tblInd w:w="475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999"/>
        <w:gridCol w:w="2025"/>
        <w:gridCol w:w="816"/>
        <w:gridCol w:w="2764"/>
      </w:tblGrid>
      <w:tr w14:paraId="1A3160A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299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 w:val="0"/>
            <w:vAlign w:val="center"/>
          </w:tcPr>
          <w:p w14:paraId="7ADDC71D">
            <w:pPr>
              <w:spacing w:line="0" w:lineRule="atLeast"/>
              <w:jc w:val="center"/>
              <w:rPr>
                <w:rFonts w:hint="eastAsia" w:ascii="宋体" w:hAnsi="宋体" w:eastAsia="宋体" w:cs="宋体"/>
                <w:b/>
                <w:bCs/>
                <w:sz w:val="24"/>
              </w:rPr>
            </w:pPr>
            <w:r>
              <w:rPr>
                <w:rFonts w:hint="eastAsia" w:ascii="Times New Roman" w:hAnsi="Times New Roman"/>
                <w:sz w:val="24"/>
              </w:rPr>
              <w:t>Item</w:t>
            </w:r>
          </w:p>
        </w:tc>
        <w:tc>
          <w:tcPr>
            <w:tcW w:w="20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 w:val="0"/>
            <w:vAlign w:val="center"/>
          </w:tcPr>
          <w:p w14:paraId="15804EF6">
            <w:pPr>
              <w:spacing w:line="0" w:lineRule="atLeast"/>
              <w:jc w:val="center"/>
              <w:rPr>
                <w:rFonts w:cs="宋体"/>
                <w:b/>
                <w:bCs/>
                <w:color w:val="000000"/>
                <w:kern w:val="0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</w:rPr>
              <w:t>Index</w:t>
            </w:r>
          </w:p>
        </w:tc>
        <w:tc>
          <w:tcPr>
            <w:tcW w:w="81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 w:val="0"/>
            <w:vAlign w:val="top"/>
          </w:tcPr>
          <w:p w14:paraId="34E64DCB">
            <w:pPr>
              <w:spacing w:line="0" w:lineRule="atLeast"/>
              <w:jc w:val="center"/>
              <w:rPr>
                <w:rFonts w:hint="eastAsia" w:cs="宋体"/>
                <w:b/>
                <w:bCs/>
                <w:color w:val="000000"/>
                <w:kern w:val="0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</w:rPr>
              <w:t>Unit</w:t>
            </w:r>
          </w:p>
        </w:tc>
        <w:tc>
          <w:tcPr>
            <w:tcW w:w="276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 w:val="0"/>
            <w:vAlign w:val="center"/>
          </w:tcPr>
          <w:p w14:paraId="3AF73DC5">
            <w:pPr>
              <w:spacing w:line="0" w:lineRule="atLeast"/>
              <w:jc w:val="center"/>
              <w:rPr>
                <w:rFonts w:hint="eastAsia" w:cs="宋体"/>
                <w:b/>
                <w:bCs/>
                <w:color w:val="000000"/>
                <w:kern w:val="0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</w:rPr>
              <w:t>Test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hint="eastAsia" w:ascii="Times New Roman" w:hAnsi="Times New Roman"/>
                <w:sz w:val="24"/>
              </w:rPr>
              <w:t>method</w:t>
            </w:r>
          </w:p>
        </w:tc>
      </w:tr>
      <w:tr w14:paraId="78C76866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8" w:hRule="atLeast"/>
        </w:trPr>
        <w:tc>
          <w:tcPr>
            <w:tcW w:w="299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03BA4111">
            <w:pPr>
              <w:spacing w:line="0" w:lineRule="atLeast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</w:rPr>
            </w:pPr>
            <w:r>
              <w:rPr>
                <w:rFonts w:hint="eastAsia" w:ascii="Times New Roman" w:hAnsi="Times New Roman"/>
                <w:sz w:val="24"/>
              </w:rPr>
              <w:t>Appearance</w:t>
            </w:r>
          </w:p>
        </w:tc>
        <w:tc>
          <w:tcPr>
            <w:tcW w:w="20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4BBFA106">
            <w:pPr>
              <w:spacing w:line="0" w:lineRule="atLeast"/>
              <w:jc w:val="center"/>
              <w:rPr>
                <w:rFonts w:hint="eastAsia" w:ascii="Times New Roman" w:hAnsi="Times New Roman" w:cs="Times New Roman"/>
                <w:b w:val="0"/>
                <w:bCs w:val="0"/>
                <w:sz w:val="24"/>
              </w:rPr>
            </w:pPr>
            <w:r>
              <w:rPr>
                <w:rFonts w:ascii="Times New Roman" w:hAnsi="Times New Roman"/>
                <w:sz w:val="24"/>
              </w:rPr>
              <w:t xml:space="preserve">Colorless to </w:t>
            </w:r>
            <w:r>
              <w:rPr>
                <w:rFonts w:hint="eastAsia" w:ascii="Times New Roman" w:hAnsi="Times New Roman"/>
                <w:sz w:val="24"/>
              </w:rPr>
              <w:t>pale-</w:t>
            </w:r>
            <w:r>
              <w:rPr>
                <w:rFonts w:ascii="Times New Roman" w:hAnsi="Times New Roman"/>
                <w:sz w:val="24"/>
              </w:rPr>
              <w:t>yellow transparent viscous liquid</w:t>
            </w:r>
          </w:p>
        </w:tc>
        <w:tc>
          <w:tcPr>
            <w:tcW w:w="81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03E7AADA">
            <w:pPr>
              <w:spacing w:line="0" w:lineRule="atLeast"/>
              <w:jc w:val="center"/>
              <w:rPr>
                <w:rFonts w:hint="eastAsia" w:ascii="Times New Roman" w:hAnsi="Times New Roman" w:cs="Times New Roman"/>
                <w:b w:val="0"/>
                <w:bCs w:val="0"/>
                <w:sz w:val="24"/>
              </w:rPr>
            </w:pPr>
          </w:p>
        </w:tc>
        <w:tc>
          <w:tcPr>
            <w:tcW w:w="276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2F089CE2">
            <w:pPr>
              <w:spacing w:line="0" w:lineRule="atLeast"/>
              <w:jc w:val="center"/>
              <w:rPr>
                <w:rFonts w:hint="eastAsia" w:ascii="Times New Roman" w:hAnsi="Times New Roman" w:cs="Times New Roman"/>
                <w:b w:val="0"/>
                <w:bCs w:val="0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Visual inspection</w:t>
            </w:r>
          </w:p>
        </w:tc>
      </w:tr>
      <w:tr w14:paraId="04554AE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0" w:hRule="atLeast"/>
        </w:trPr>
        <w:tc>
          <w:tcPr>
            <w:tcW w:w="299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0FBFA2AB">
            <w:pPr>
              <w:spacing w:line="0" w:lineRule="atLeast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</w:rPr>
            </w:pPr>
            <w:r>
              <w:rPr>
                <w:rFonts w:hint="eastAsia" w:ascii="Times New Roman" w:hAnsi="Times New Roman"/>
                <w:sz w:val="24"/>
              </w:rPr>
              <w:t>S</w:t>
            </w:r>
            <w:r>
              <w:rPr>
                <w:rFonts w:ascii="Times New Roman" w:hAnsi="Times New Roman"/>
                <w:sz w:val="24"/>
              </w:rPr>
              <w:t>olid content</w:t>
            </w:r>
          </w:p>
        </w:tc>
        <w:tc>
          <w:tcPr>
            <w:tcW w:w="20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30F829CE">
            <w:pPr>
              <w:spacing w:line="0" w:lineRule="atLeast"/>
              <w:jc w:val="center"/>
              <w:rPr>
                <w:rFonts w:hint="eastAsia" w:ascii="Times New Roman" w:hAnsi="Times New Roman" w:cs="Times New Roman"/>
                <w:b w:val="0"/>
                <w:bCs w:val="0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70</w:t>
            </w:r>
            <w:r>
              <w:rPr>
                <w:rFonts w:hint="eastAsia" w:ascii="Times New Roman" w:hAnsi="Times New Roman"/>
                <w:sz w:val="24"/>
              </w:rPr>
              <w:t>±</w:t>
            </w: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81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14E56561">
            <w:pPr>
              <w:spacing w:line="0" w:lineRule="atLeast"/>
              <w:jc w:val="center"/>
              <w:rPr>
                <w:rFonts w:hint="eastAsia" w:ascii="Times New Roman" w:hAnsi="Times New Roman" w:cs="Times New Roman"/>
                <w:b w:val="0"/>
                <w:bCs w:val="0"/>
                <w:sz w:val="24"/>
              </w:rPr>
            </w:pPr>
            <w:r>
              <w:rPr>
                <w:rFonts w:hint="eastAsia" w:ascii="Times New Roman" w:hAnsi="Times New Roman"/>
                <w:sz w:val="24"/>
              </w:rPr>
              <w:t>%</w:t>
            </w:r>
          </w:p>
        </w:tc>
        <w:tc>
          <w:tcPr>
            <w:tcW w:w="276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0A7B5920">
            <w:pPr>
              <w:spacing w:line="0" w:lineRule="atLeast"/>
              <w:jc w:val="center"/>
              <w:rPr>
                <w:rFonts w:hint="eastAsia" w:ascii="Times New Roman" w:hAnsi="Times New Roman" w:cs="Times New Roman"/>
                <w:b w:val="0"/>
                <w:bCs w:val="0"/>
                <w:sz w:val="24"/>
              </w:rPr>
            </w:pPr>
            <w:r>
              <w:rPr>
                <w:rFonts w:hint="eastAsia" w:ascii="Times New Roman" w:hAnsi="Times New Roman"/>
                <w:sz w:val="24"/>
              </w:rPr>
              <w:t>1</w:t>
            </w:r>
            <w:r>
              <w:rPr>
                <w:rFonts w:ascii="Times New Roman" w:hAnsi="Times New Roman"/>
                <w:sz w:val="24"/>
              </w:rPr>
              <w:t>50</w:t>
            </w:r>
            <w:r>
              <w:rPr>
                <w:rFonts w:hint="eastAsia" w:ascii="Times New Roman" w:hAnsi="Times New Roman"/>
                <w:sz w:val="24"/>
              </w:rPr>
              <w:t>℃</w:t>
            </w:r>
            <w:r>
              <w:rPr>
                <w:rFonts w:ascii="Times New Roman" w:hAnsi="Times New Roman"/>
                <w:sz w:val="24"/>
              </w:rPr>
              <w:t xml:space="preserve"> 30</w:t>
            </w:r>
            <w:r>
              <w:rPr>
                <w:rFonts w:hint="eastAsia" w:ascii="Times New Roman" w:hAnsi="Times New Roman"/>
                <w:sz w:val="24"/>
              </w:rPr>
              <w:t>min,</w:t>
            </w:r>
            <w:r>
              <w:rPr>
                <w:rFonts w:ascii="Times New Roman" w:hAnsi="Times New Roman"/>
                <w:sz w:val="24"/>
              </w:rPr>
              <w:t xml:space="preserve"> convection oven</w:t>
            </w:r>
          </w:p>
        </w:tc>
      </w:tr>
      <w:tr w14:paraId="6903A62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0" w:hRule="atLeast"/>
        </w:trPr>
        <w:tc>
          <w:tcPr>
            <w:tcW w:w="299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78674C55">
            <w:pPr>
              <w:spacing w:line="0" w:lineRule="atLeast"/>
              <w:jc w:val="center"/>
              <w:rPr>
                <w:rFonts w:ascii="宋体" w:hAnsi="宋体" w:cs="宋体"/>
                <w:b w:val="0"/>
                <w:bCs w:val="0"/>
                <w:sz w:val="24"/>
              </w:rPr>
            </w:pPr>
            <w:r>
              <w:rPr>
                <w:rFonts w:ascii="Times New Roman" w:hAnsi="Times New Roman"/>
                <w:sz w:val="24"/>
              </w:rPr>
              <w:t xml:space="preserve">NCO </w:t>
            </w:r>
            <w:r>
              <w:rPr>
                <w:rFonts w:hint="eastAsia" w:ascii="Times New Roman" w:hAnsi="Times New Roman"/>
                <w:sz w:val="24"/>
              </w:rPr>
              <w:t>v</w:t>
            </w:r>
            <w:r>
              <w:rPr>
                <w:rFonts w:ascii="Times New Roman" w:hAnsi="Times New Roman"/>
                <w:sz w:val="24"/>
              </w:rPr>
              <w:t>alue (on supplied)</w:t>
            </w:r>
          </w:p>
        </w:tc>
        <w:tc>
          <w:tcPr>
            <w:tcW w:w="20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56CE5AF6">
            <w:pPr>
              <w:spacing w:line="0" w:lineRule="atLeast"/>
              <w:jc w:val="center"/>
              <w:rPr>
                <w:rFonts w:hint="eastAsia" w:ascii="Times New Roman" w:hAnsi="Times New Roman" w:cs="Times New Roman"/>
                <w:b w:val="0"/>
                <w:bCs w:val="0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9.</w:t>
            </w:r>
            <w:r>
              <w:rPr>
                <w:rFonts w:hint="eastAsia" w:ascii="Times New Roman" w:hAnsi="Times New Roman"/>
                <w:sz w:val="24"/>
                <w:lang w:val="en-US" w:eastAsia="zh-CN"/>
              </w:rPr>
              <w:t>3</w:t>
            </w:r>
            <w:r>
              <w:rPr>
                <w:rFonts w:ascii="Times New Roman" w:hAnsi="Times New Roman"/>
                <w:sz w:val="24"/>
              </w:rPr>
              <w:t>±0.5</w:t>
            </w:r>
          </w:p>
        </w:tc>
        <w:tc>
          <w:tcPr>
            <w:tcW w:w="81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45247559">
            <w:pPr>
              <w:spacing w:line="0" w:lineRule="atLeast"/>
              <w:jc w:val="center"/>
              <w:rPr>
                <w:rFonts w:hint="eastAsia" w:ascii="Times New Roman" w:hAnsi="Times New Roman" w:cs="Times New Roman"/>
                <w:b w:val="0"/>
                <w:bCs w:val="0"/>
                <w:sz w:val="24"/>
              </w:rPr>
            </w:pPr>
            <w:r>
              <w:rPr>
                <w:rFonts w:hint="eastAsia" w:ascii="Times New Roman" w:hAnsi="Times New Roman"/>
                <w:sz w:val="24"/>
              </w:rPr>
              <w:t>%</w:t>
            </w:r>
          </w:p>
        </w:tc>
        <w:tc>
          <w:tcPr>
            <w:tcW w:w="276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072E25AF">
            <w:pPr>
              <w:spacing w:line="0" w:lineRule="atLeast"/>
              <w:jc w:val="center"/>
              <w:rPr>
                <w:rFonts w:hint="eastAsia" w:ascii="Times New Roman" w:hAnsi="Times New Roman" w:cs="Times New Roman"/>
                <w:b w:val="0"/>
                <w:bCs w:val="0"/>
                <w:sz w:val="24"/>
              </w:rPr>
            </w:pPr>
            <w:r>
              <w:rPr>
                <w:rFonts w:hint="eastAsia" w:ascii="Times New Roman" w:hAnsi="Times New Roman"/>
                <w:sz w:val="24"/>
              </w:rPr>
              <w:t>GB</w:t>
            </w:r>
            <w:r>
              <w:rPr>
                <w:rFonts w:ascii="Times New Roman" w:hAnsi="Times New Roman"/>
                <w:sz w:val="24"/>
              </w:rPr>
              <w:t>/T 12009.5-1992</w:t>
            </w:r>
          </w:p>
        </w:tc>
      </w:tr>
      <w:tr w14:paraId="14E6196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0" w:hRule="atLeast"/>
        </w:trPr>
        <w:tc>
          <w:tcPr>
            <w:tcW w:w="299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66E15D9E">
            <w:pPr>
              <w:spacing w:line="0" w:lineRule="atLeast"/>
              <w:jc w:val="center"/>
              <w:rPr>
                <w:rFonts w:ascii="宋体" w:hAnsi="宋体" w:cs="宋体"/>
                <w:b w:val="0"/>
                <w:bCs w:val="0"/>
                <w:sz w:val="24"/>
              </w:rPr>
            </w:pPr>
            <w:r>
              <w:rPr>
                <w:rFonts w:hint="eastAsia" w:ascii="Times New Roman" w:hAnsi="Times New Roman"/>
                <w:sz w:val="24"/>
              </w:rPr>
              <w:t>V</w:t>
            </w:r>
            <w:r>
              <w:rPr>
                <w:rFonts w:ascii="Times New Roman" w:hAnsi="Times New Roman"/>
                <w:sz w:val="24"/>
              </w:rPr>
              <w:t>iscosity (25</w:t>
            </w:r>
            <w:r>
              <w:rPr>
                <w:rFonts w:hint="eastAsia" w:ascii="Times New Roman" w:hAnsi="Times New Roman"/>
                <w:sz w:val="24"/>
              </w:rPr>
              <w:t>℃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0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0695F7D5">
            <w:pPr>
              <w:spacing w:line="0" w:lineRule="atLeast"/>
              <w:jc w:val="center"/>
              <w:rPr>
                <w:rFonts w:ascii="宋体" w:hAnsi="宋体" w:cs="宋体"/>
                <w:b w:val="0"/>
                <w:bCs w:val="0"/>
                <w:sz w:val="24"/>
              </w:rPr>
            </w:pPr>
            <w:r>
              <w:rPr>
                <w:rFonts w:hint="eastAsia" w:ascii="Times New Roman" w:hAnsi="Times New Roman"/>
                <w:sz w:val="24"/>
                <w:lang w:val="en-US" w:eastAsia="zh-CN"/>
              </w:rPr>
              <w:t>10</w:t>
            </w:r>
            <w:r>
              <w:rPr>
                <w:rFonts w:ascii="Times New Roman" w:hAnsi="Times New Roman"/>
                <w:sz w:val="24"/>
              </w:rPr>
              <w:t>00</w:t>
            </w:r>
            <w:r>
              <w:rPr>
                <w:rFonts w:hint="eastAsia" w:ascii="Times New Roman" w:hAnsi="Times New Roman"/>
                <w:sz w:val="24"/>
              </w:rPr>
              <w:t>±</w:t>
            </w:r>
            <w:r>
              <w:rPr>
                <w:rFonts w:ascii="Times New Roman" w:hAnsi="Times New Roman"/>
                <w:sz w:val="24"/>
              </w:rPr>
              <w:t>500</w:t>
            </w:r>
          </w:p>
        </w:tc>
        <w:tc>
          <w:tcPr>
            <w:tcW w:w="81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1BACF03E">
            <w:pPr>
              <w:spacing w:line="0" w:lineRule="atLeast"/>
              <w:jc w:val="center"/>
              <w:rPr>
                <w:rFonts w:hint="eastAsia" w:ascii="宋体" w:hAnsi="宋体" w:cs="宋体"/>
                <w:b w:val="0"/>
                <w:bCs w:val="0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mPa·S</w:t>
            </w:r>
          </w:p>
        </w:tc>
        <w:tc>
          <w:tcPr>
            <w:tcW w:w="276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4B46E7BC">
            <w:pPr>
              <w:spacing w:line="0" w:lineRule="atLeast"/>
              <w:jc w:val="center"/>
              <w:rPr>
                <w:rFonts w:hint="eastAsia" w:ascii="宋体" w:hAnsi="宋体" w:cs="宋体"/>
                <w:b w:val="0"/>
                <w:bCs w:val="0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GB/T 2794-2013</w:t>
            </w:r>
          </w:p>
        </w:tc>
      </w:tr>
      <w:tr w14:paraId="6E214B1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0" w:hRule="atLeast"/>
        </w:trPr>
        <w:tc>
          <w:tcPr>
            <w:tcW w:w="299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4D5B3223">
            <w:pPr>
              <w:spacing w:line="0" w:lineRule="atLeast"/>
              <w:jc w:val="center"/>
              <w:rPr>
                <w:rFonts w:hint="eastAsia" w:ascii="宋体" w:hAnsi="宋体" w:cs="宋体"/>
                <w:b w:val="0"/>
                <w:bCs w:val="0"/>
                <w:sz w:val="24"/>
              </w:rPr>
            </w:pPr>
            <w:r>
              <w:rPr>
                <w:rFonts w:hint="eastAsia" w:ascii="Times New Roman" w:hAnsi="Times New Roman"/>
                <w:sz w:val="24"/>
              </w:rPr>
              <w:t>IP</w:t>
            </w:r>
            <w:r>
              <w:rPr>
                <w:rFonts w:ascii="Times New Roman" w:hAnsi="Times New Roman"/>
                <w:sz w:val="24"/>
              </w:rPr>
              <w:t>DI monomer</w:t>
            </w:r>
          </w:p>
        </w:tc>
        <w:tc>
          <w:tcPr>
            <w:tcW w:w="20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3974ED61">
            <w:pPr>
              <w:spacing w:line="0" w:lineRule="atLeast"/>
              <w:jc w:val="center"/>
              <w:rPr>
                <w:rFonts w:hint="eastAsia" w:ascii="宋体" w:hAnsi="宋体" w:cs="宋体"/>
                <w:b w:val="0"/>
                <w:bCs w:val="0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&lt;0.35</w:t>
            </w:r>
          </w:p>
        </w:tc>
        <w:tc>
          <w:tcPr>
            <w:tcW w:w="81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5960BD7E">
            <w:pPr>
              <w:spacing w:line="0" w:lineRule="atLeast"/>
              <w:jc w:val="center"/>
              <w:rPr>
                <w:rFonts w:hint="eastAsia" w:ascii="宋体" w:hAnsi="宋体" w:cs="宋体"/>
                <w:b w:val="0"/>
                <w:bCs w:val="0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%</w:t>
            </w:r>
          </w:p>
        </w:tc>
        <w:tc>
          <w:tcPr>
            <w:tcW w:w="276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4323A6AD">
            <w:pPr>
              <w:spacing w:line="0" w:lineRule="atLeast"/>
              <w:jc w:val="center"/>
              <w:rPr>
                <w:rFonts w:hint="eastAsia" w:ascii="宋体" w:hAnsi="宋体" w:cs="宋体"/>
                <w:b w:val="0"/>
                <w:bCs w:val="0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GB/T 18446-2009</w:t>
            </w:r>
          </w:p>
        </w:tc>
      </w:tr>
    </w:tbl>
    <w:p w14:paraId="6E88BE65">
      <w:pPr>
        <w:spacing w:line="207" w:lineRule="exact"/>
        <w:rPr>
          <w:rFonts w:hint="eastAsia" w:ascii="Times New Roman" w:hAnsi="Times New Roman" w:eastAsia="宋体" w:cs="Times New Roman"/>
          <w:sz w:val="16"/>
          <w:szCs w:val="11"/>
        </w:rPr>
      </w:pPr>
    </w:p>
    <w:p w14:paraId="5AA0BCE2">
      <w:pPr>
        <w:spacing w:line="0" w:lineRule="atLeast"/>
        <w:rPr>
          <w:rFonts w:ascii="宋体" w:hAnsi="宋体" w:eastAsia="宋体" w:cs="Times New Roman"/>
          <w:b/>
          <w:sz w:val="28"/>
        </w:rPr>
      </w:pPr>
      <w:r>
        <w:rPr>
          <w:rFonts w:ascii="宋体" w:hAnsi="宋体" w:eastAsia="宋体" w:cs="Times New Roman"/>
          <w:b/>
          <w:sz w:val="28"/>
        </w:rPr>
        <w:t>Product Features</w:t>
      </w:r>
    </w:p>
    <w:p w14:paraId="5728D9B9">
      <w:pPr>
        <w:spacing w:line="0" w:lineRule="atLeast"/>
        <w:rPr>
          <w:rFonts w:ascii="宋体" w:hAnsi="宋体" w:eastAsia="宋体" w:cs="Times New Roman"/>
          <w:b/>
          <w:sz w:val="15"/>
          <w:szCs w:val="8"/>
        </w:rPr>
      </w:pPr>
    </w:p>
    <w:p w14:paraId="4A24847E">
      <w:pPr>
        <w:numPr>
          <w:ilvl w:val="0"/>
          <w:numId w:val="1"/>
        </w:numPr>
        <w:spacing w:line="324" w:lineRule="auto"/>
        <w:ind w:left="0" w:leftChars="0" w:right="0" w:rightChars="0" w:firstLineChars="200"/>
        <w:rPr>
          <w:rFonts w:hint="eastAsia" w:ascii="Times New Roman" w:hAnsi="Times New Roman" w:cs="Times New Roman"/>
          <w:sz w:val="24"/>
        </w:rPr>
      </w:pPr>
      <w:r>
        <w:rPr>
          <w:rFonts w:hint="eastAsia" w:ascii="Times New Roman" w:hAnsi="Times New Roman" w:cs="Times New Roman"/>
          <w:sz w:val="24"/>
        </w:rPr>
        <w:t>Very soft film formation;</w:t>
      </w:r>
    </w:p>
    <w:p w14:paraId="5A4BE25B">
      <w:pPr>
        <w:numPr>
          <w:ilvl w:val="0"/>
          <w:numId w:val="1"/>
        </w:numPr>
        <w:spacing w:line="324" w:lineRule="auto"/>
        <w:ind w:left="0" w:leftChars="0" w:right="0" w:rightChars="0" w:firstLineChars="200"/>
        <w:rPr>
          <w:rFonts w:hint="eastAsia" w:ascii="Times New Roman" w:hAnsi="Times New Roman" w:cs="Times New Roman"/>
          <w:sz w:val="24"/>
        </w:rPr>
      </w:pPr>
      <w:r>
        <w:rPr>
          <w:rFonts w:hint="eastAsia" w:ascii="Times New Roman" w:hAnsi="Times New Roman" w:cs="Times New Roman"/>
          <w:sz w:val="24"/>
        </w:rPr>
        <w:t>Excellent adhesion;</w:t>
      </w:r>
    </w:p>
    <w:p w14:paraId="614BD790">
      <w:pPr>
        <w:numPr>
          <w:ilvl w:val="0"/>
          <w:numId w:val="1"/>
        </w:numPr>
        <w:spacing w:line="324" w:lineRule="auto"/>
        <w:ind w:left="0" w:leftChars="0" w:right="0" w:rightChars="0" w:firstLineChars="200"/>
        <w:rPr>
          <w:rFonts w:hint="eastAsia" w:ascii="Times New Roman" w:hAnsi="Times New Roman" w:cs="Times New Roman"/>
          <w:sz w:val="24"/>
        </w:rPr>
      </w:pPr>
      <w:r>
        <w:rPr>
          <w:rFonts w:hint="eastAsia" w:ascii="Times New Roman" w:hAnsi="Times New Roman" w:cs="Times New Roman"/>
          <w:sz w:val="24"/>
        </w:rPr>
        <w:t>Good yellowing resistance;</w:t>
      </w:r>
    </w:p>
    <w:p w14:paraId="6AD878DD">
      <w:pPr>
        <w:numPr>
          <w:ilvl w:val="0"/>
          <w:numId w:val="1"/>
        </w:numPr>
        <w:spacing w:line="324" w:lineRule="auto"/>
        <w:ind w:left="0" w:leftChars="0" w:right="0" w:rightChars="0" w:firstLineChars="200"/>
        <w:rPr>
          <w:rFonts w:hint="eastAsia" w:ascii="Times New Roman" w:hAnsi="Times New Roman" w:cs="Times New Roman"/>
          <w:sz w:val="24"/>
        </w:rPr>
      </w:pPr>
      <w:r>
        <w:rPr>
          <w:rFonts w:hint="eastAsia" w:ascii="Times New Roman" w:hAnsi="Times New Roman" w:cs="Times New Roman"/>
          <w:sz w:val="24"/>
        </w:rPr>
        <w:t>Good penetration;</w:t>
      </w:r>
    </w:p>
    <w:p w14:paraId="7BDAFD77">
      <w:pPr>
        <w:spacing w:line="0" w:lineRule="atLeast"/>
        <w:rPr>
          <w:rFonts w:ascii="宋体" w:hAnsi="宋体" w:eastAsia="宋体" w:cs="Times New Roman"/>
          <w:b/>
          <w:sz w:val="28"/>
        </w:rPr>
      </w:pPr>
      <w:r>
        <w:rPr>
          <w:rFonts w:ascii="宋体" w:hAnsi="宋体" w:eastAsia="宋体" w:cs="Times New Roman"/>
          <w:b/>
          <w:sz w:val="28"/>
        </w:rPr>
        <w:t>Application</w:t>
      </w:r>
    </w:p>
    <w:p w14:paraId="6F1B3A72">
      <w:pPr>
        <w:spacing w:line="0" w:lineRule="atLeast"/>
        <w:rPr>
          <w:rFonts w:ascii="宋体" w:hAnsi="宋体" w:cs="宋体"/>
          <w:b/>
          <w:sz w:val="13"/>
          <w:szCs w:val="6"/>
        </w:rPr>
      </w:pPr>
    </w:p>
    <w:p w14:paraId="07B5F7C6">
      <w:pPr>
        <w:spacing w:line="324" w:lineRule="auto"/>
        <w:ind w:left="0" w:leftChars="0" w:right="0" w:rightChars="0" w:firstLineChars="200"/>
        <w:rPr>
          <w:rFonts w:ascii="宋体" w:hAnsi="宋体" w:cs="宋体"/>
          <w:sz w:val="24"/>
        </w:rPr>
      </w:pPr>
      <w:r>
        <w:rPr>
          <w:rFonts w:hint="eastAsia" w:ascii="Times New Roman" w:hAnsi="Times New Roman" w:cs="Times New Roman"/>
          <w:sz w:val="24"/>
        </w:rPr>
        <w:t>PU-1001 forms a very soft film with strong adhesion, suitable for use alone as a tie coat or blended with other materials to improve interlayer adhesion and physical properties without increasing coating stiffness.</w:t>
      </w:r>
    </w:p>
    <w:p w14:paraId="37046BB6">
      <w:pPr>
        <w:spacing w:line="324" w:lineRule="auto"/>
        <w:ind w:left="0" w:leftChars="0" w:right="0" w:rightChars="0" w:firstLineChars="200"/>
        <w:rPr>
          <w:rFonts w:hint="eastAsia" w:ascii="Times New Roman" w:hAnsi="Times New Roman" w:cs="Times New Roman"/>
          <w:sz w:val="24"/>
        </w:rPr>
      </w:pPr>
      <w:r>
        <w:rPr>
          <w:rFonts w:hint="eastAsia" w:ascii="Times New Roman" w:hAnsi="Times New Roman" w:cs="Times New Roman"/>
          <w:sz w:val="24"/>
        </w:rPr>
        <w:t>As an aliphatic polyurethane resin with excellent yellowing resistance, PU-1001 is widely used for white and light-colored leathers.</w:t>
      </w:r>
    </w:p>
    <w:p w14:paraId="7B93A2BF">
      <w:pPr>
        <w:spacing w:line="0" w:lineRule="atLeast"/>
        <w:rPr>
          <w:rFonts w:ascii="宋体" w:hAnsi="宋体" w:eastAsia="宋体" w:cs="Times New Roman"/>
          <w:b/>
          <w:sz w:val="28"/>
        </w:rPr>
      </w:pPr>
      <w:r>
        <w:rPr>
          <w:rFonts w:ascii="宋体" w:hAnsi="宋体" w:eastAsia="宋体" w:cs="Times New Roman"/>
          <w:b/>
          <w:sz w:val="28"/>
        </w:rPr>
        <w:t>Storage</w:t>
      </w:r>
    </w:p>
    <w:p w14:paraId="7A6BEBD0">
      <w:pPr>
        <w:spacing w:line="0" w:lineRule="atLeast"/>
        <w:rPr>
          <w:rFonts w:ascii="宋体" w:hAnsi="宋体" w:cs="宋体"/>
          <w:b/>
          <w:sz w:val="13"/>
          <w:szCs w:val="6"/>
        </w:rPr>
      </w:pPr>
    </w:p>
    <w:p w14:paraId="5625206E">
      <w:pPr>
        <w:spacing w:line="324" w:lineRule="auto"/>
        <w:ind w:left="0" w:leftChars="0" w:right="0" w:rightChars="0" w:firstLineChars="200"/>
        <w:rPr>
          <w:rFonts w:ascii="宋体" w:hAnsi="宋体"/>
          <w:sz w:val="24"/>
        </w:rPr>
      </w:pPr>
      <w:r>
        <w:rPr>
          <w:rFonts w:hint="eastAsia" w:ascii="Times New Roman" w:hAnsi="Times New Roman" w:cs="Times New Roman"/>
          <w:sz w:val="24"/>
        </w:rPr>
        <w:t>Store in a ventilated, dry area at 5-35°C; protect from freezing. Shelf life is 6 months from shipment. Products older than 6 months should be re-evaluated before use.</w:t>
      </w:r>
    </w:p>
    <w:p w14:paraId="1942A561">
      <w:pPr>
        <w:spacing w:line="326" w:lineRule="auto"/>
        <w:ind w:firstLine="480"/>
        <w:rPr>
          <w:rFonts w:hint="eastAsia" w:ascii="Times New Roman" w:hAnsi="Times New Roman"/>
          <w:sz w:val="24"/>
        </w:rPr>
      </w:pPr>
    </w:p>
    <w:sectPr>
      <w:pgSz w:w="11900" w:h="16840"/>
      <w:pgMar w:top="852" w:right="1120" w:bottom="1440" w:left="1140" w:header="0" w:footer="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B2EADC4"/>
    <w:multiLevelType w:val="singleLevel"/>
    <w:tmpl w:val="CB2EADC4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bordersDoNotSurroundHeader w:val="0"/>
  <w:bordersDoNotSurroundFooter w:val="0"/>
  <w:documentProtection w:enforcement="0"/>
  <w:defaultTabStop w:val="720"/>
  <w:hyphenationZone w:val="360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docVars>
    <w:docVar w:name="commondata" w:val="eyJoZGlkIjoiMzcwMjQ2Y2VjOWFhZTAwOTVmM2FmNjdjM2EzMTA0M2EifQ=="/>
  </w:docVars>
  <w:rsids>
    <w:rsidRoot w:val="00C33E44"/>
    <w:rsid w:val="00007E17"/>
    <w:rsid w:val="00034B59"/>
    <w:rsid w:val="00045EFD"/>
    <w:rsid w:val="0004674D"/>
    <w:rsid w:val="000522A7"/>
    <w:rsid w:val="000B2533"/>
    <w:rsid w:val="00111DCC"/>
    <w:rsid w:val="001E5BF7"/>
    <w:rsid w:val="0020230F"/>
    <w:rsid w:val="00311853"/>
    <w:rsid w:val="00332EBF"/>
    <w:rsid w:val="0034486F"/>
    <w:rsid w:val="00355D73"/>
    <w:rsid w:val="0037193C"/>
    <w:rsid w:val="00483286"/>
    <w:rsid w:val="004B4B27"/>
    <w:rsid w:val="005512A2"/>
    <w:rsid w:val="005762FB"/>
    <w:rsid w:val="00595107"/>
    <w:rsid w:val="005E6C3A"/>
    <w:rsid w:val="005E7FFC"/>
    <w:rsid w:val="006029C8"/>
    <w:rsid w:val="00653813"/>
    <w:rsid w:val="0068349E"/>
    <w:rsid w:val="006D7F93"/>
    <w:rsid w:val="0074055C"/>
    <w:rsid w:val="00766318"/>
    <w:rsid w:val="008221D5"/>
    <w:rsid w:val="00825AC0"/>
    <w:rsid w:val="00882F3E"/>
    <w:rsid w:val="00894E97"/>
    <w:rsid w:val="008D6C0B"/>
    <w:rsid w:val="0097292F"/>
    <w:rsid w:val="00996317"/>
    <w:rsid w:val="009B5F47"/>
    <w:rsid w:val="00A06A33"/>
    <w:rsid w:val="00B549B9"/>
    <w:rsid w:val="00B9635E"/>
    <w:rsid w:val="00BE3056"/>
    <w:rsid w:val="00C33E44"/>
    <w:rsid w:val="00C8304D"/>
    <w:rsid w:val="00C8389C"/>
    <w:rsid w:val="00D359FB"/>
    <w:rsid w:val="00DD7590"/>
    <w:rsid w:val="00E41927"/>
    <w:rsid w:val="00E47392"/>
    <w:rsid w:val="00E57EDB"/>
    <w:rsid w:val="00E762D7"/>
    <w:rsid w:val="00E938A6"/>
    <w:rsid w:val="00EA5464"/>
    <w:rsid w:val="00F43442"/>
    <w:rsid w:val="00FE06DB"/>
    <w:rsid w:val="02D70960"/>
    <w:rsid w:val="05976DBC"/>
    <w:rsid w:val="17DE76A9"/>
    <w:rsid w:val="1B010DF9"/>
    <w:rsid w:val="25B313D1"/>
    <w:rsid w:val="2923423D"/>
    <w:rsid w:val="2FE9719E"/>
    <w:rsid w:val="35A218A7"/>
    <w:rsid w:val="385A0A58"/>
    <w:rsid w:val="43591461"/>
    <w:rsid w:val="4AEE57E1"/>
    <w:rsid w:val="5A260C9F"/>
    <w:rsid w:val="639B6AA3"/>
    <w:rsid w:val="719838D1"/>
    <w:rsid w:val="73552DC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lang w:val="en-US" w:eastAsia="zh-CN" w:bidi="ar-SA"/>
    </w:rPr>
  </w:style>
  <w:style w:type="paragraph" w:styleId="2">
    <w:name w:val="heading 3"/>
    <w:basedOn w:val="1"/>
    <w:next w:val="1"/>
    <w:unhideWhenUsed/>
    <w:qFormat/>
    <w:uiPriority w:val="9"/>
    <w:pPr>
      <w:spacing w:before="100" w:beforeAutospacing="1" w:after="100" w:afterAutospacing="1"/>
      <w:jc w:val="left"/>
      <w:outlineLvl w:val="2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6">
    <w:name w:val="Default Paragraph Font"/>
    <w:unhideWhenUsed/>
    <w:uiPriority w:val="1"/>
  </w:style>
  <w:style w:type="table" w:default="1" w:styleId="5">
    <w:name w:val="Normal Table"/>
    <w:unhideWhenUsed/>
    <w:qFormat/>
    <w:uiPriority w:val="99"/>
    <w:tblPr>
      <w:tblStyle w:val="5"/>
    </w:tblPr>
  </w:style>
  <w:style w:type="paragraph" w:styleId="3">
    <w:name w:val="footer"/>
    <w:basedOn w:val="1"/>
    <w:link w:val="7"/>
    <w:unhideWhenUsed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4">
    <w:name w:val="header"/>
    <w:basedOn w:val="1"/>
    <w:link w:val="8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7">
    <w:name w:val="页脚 字符"/>
    <w:link w:val="3"/>
    <w:semiHidden/>
    <w:uiPriority w:val="99"/>
    <w:rPr>
      <w:sz w:val="18"/>
      <w:szCs w:val="18"/>
    </w:rPr>
  </w:style>
  <w:style w:type="character" w:customStyle="1" w:styleId="8">
    <w:name w:val="页眉 字符"/>
    <w:link w:val="4"/>
    <w:semiHidden/>
    <w:uiPriority w:val="99"/>
    <w:rPr>
      <w:sz w:val="18"/>
      <w:szCs w:val="18"/>
    </w:rPr>
  </w:style>
  <w:style w:type="paragraph" w:styleId="9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8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205</Words>
  <Characters>1188</Characters>
  <Lines>11</Lines>
  <Paragraphs>3</Paragraphs>
  <TotalTime>0</TotalTime>
  <ScaleCrop>false</ScaleCrop>
  <LinksUpToDate>false</LinksUpToDate>
  <CharactersWithSpaces>1338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2017-04-24T04:39:00Z</dcterms:created>
  <dc:creator>Administrator</dc:creator>
  <cp:lastModifiedBy>陈子钦</cp:lastModifiedBy>
  <cp:lastPrinted>2020-08-01T02:55:00Z</cp:lastPrinted>
  <dcterms:modified xsi:type="dcterms:W3CDTF">2026-09-14T08:41:53Z</dcterms:modified>
  <cp:revision>17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69729E1DDA3B4E6295D506B6B51DDD91_13</vt:lpwstr>
  </property>
  <property fmtid="{D5CDD505-2E9C-101B-9397-08002B2CF9AE}" pid="4" name="KSOTemplateDocerSaveRecord">
    <vt:lpwstr>eyJoZGlkIjoiMGU0NzVjNDQ1NTM2YThmMjJkODA1NWYxODU0ZDMyMDUiLCJ1c2VySWQiOiIxNjgxODg1MTYwIn0=</vt:lpwstr>
  </property>
</Properties>
</file>