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 w:firstLine="118" w:firstLineChars="4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v</w:t>
            </w: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402" w:type="dxa"/>
            <w:tcBorders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379" w:type="dxa"/>
            <w:tcBorders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BL-8</w:t>
            </w:r>
            <w:r>
              <w:rPr>
                <w:rFonts w:hint="eastAsia"/>
                <w:sz w:val="24"/>
                <w:lang w:val="en-US" w:eastAsia="zh-CN"/>
              </w:rPr>
              <w:t>085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水性封闭异氰酸酯固化剂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封闭型聚异氰酸酯水分散体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0"/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产品使用建议和使用限制：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粘合剂、涂料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firstLine="2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广州市萝岗区科学城掬泉路3号广州国际企业孵化器A区1106室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>82567990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 xml:space="preserve">32214789   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rFonts w:hint="eastAsia" w:hAnsi="Arial"/>
                <w:b/>
                <w:sz w:val="24"/>
              </w:rPr>
              <w:t>危险性概述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9781" w:type="dxa"/>
          </w:tcPr>
          <w:p>
            <w:pPr>
              <w:pStyle w:val="10"/>
              <w:autoSpaceDE w:val="0"/>
              <w:autoSpaceDN w:val="0"/>
              <w:adjustRightInd w:val="0"/>
              <w:spacing w:line="300" w:lineRule="auto"/>
              <w:ind w:left="420" w:firstLine="0" w:firstLineChars="0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物质或混合物分类</w:t>
            </w:r>
          </w:p>
          <w:p>
            <w:pPr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b/>
                <w:sz w:val="24"/>
              </w:rPr>
              <w:t>GHS</w:t>
            </w:r>
            <w:r>
              <w:rPr>
                <w:rFonts w:hint="eastAsia"/>
                <w:b/>
                <w:sz w:val="24"/>
              </w:rPr>
              <w:t>分类：</w:t>
            </w:r>
          </w:p>
          <w:p>
            <w:pPr>
              <w:spacing w:line="300" w:lineRule="auto"/>
              <w:ind w:left="458" w:leftChars="218"/>
              <w:rPr>
                <w:sz w:val="24"/>
              </w:rPr>
            </w:pPr>
            <w:r>
              <w:rPr>
                <w:rFonts w:hint="eastAsia"/>
                <w:sz w:val="24"/>
              </w:rPr>
              <w:t>根据</w:t>
            </w:r>
            <w:r>
              <w:rPr>
                <w:sz w:val="24"/>
              </w:rPr>
              <w:t>GHS</w:t>
            </w:r>
            <w:r>
              <w:rPr>
                <w:rFonts w:hint="eastAsia"/>
                <w:sz w:val="24"/>
              </w:rPr>
              <w:t>不属于危险物</w:t>
            </w:r>
          </w:p>
          <w:p>
            <w:pPr>
              <w:spacing w:line="300" w:lineRule="auto"/>
              <w:ind w:left="458" w:leftChars="218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cs="Arial"/>
                <w:b/>
                <w:bCs/>
                <w:kern w:val="0"/>
                <w:sz w:val="24"/>
              </w:rPr>
              <w:t>GHS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象形图：</w:t>
            </w:r>
          </w:p>
          <w:p>
            <w:pPr>
              <w:spacing w:line="300" w:lineRule="auto"/>
              <w:ind w:left="458" w:leftChars="218"/>
              <w:rPr>
                <w:sz w:val="24"/>
              </w:rPr>
            </w:pPr>
            <w:r>
              <w:rPr>
                <w:rFonts w:hint="eastAsia"/>
                <w:sz w:val="24"/>
              </w:rPr>
              <w:t>根据</w:t>
            </w:r>
            <w:r>
              <w:rPr>
                <w:sz w:val="24"/>
              </w:rPr>
              <w:t>GHS</w:t>
            </w:r>
            <w:r>
              <w:rPr>
                <w:rFonts w:hint="eastAsia"/>
                <w:sz w:val="24"/>
              </w:rPr>
              <w:t>不属于危险物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8"/>
        <w:gridCol w:w="2844"/>
        <w:gridCol w:w="31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828" w:type="dxa"/>
            <w:tcBorders>
              <w:bottom w:val="nil"/>
              <w:right w:val="nil"/>
            </w:tcBorders>
          </w:tcPr>
          <w:p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5953" w:type="dxa"/>
            <w:gridSpan w:val="2"/>
            <w:tcBorders>
              <w:left w:val="nil"/>
              <w:bottom w:val="nil"/>
            </w:tcBorders>
          </w:tcPr>
          <w:p>
            <w:pPr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828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284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ind w:right="34"/>
              <w:rPr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828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ind w:left="459" w:right="34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284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/>
              <w:ind w:right="480" w:firstLine="480" w:firstLineChars="200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ind w:right="480"/>
              <w:jc w:val="center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828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封闭型异氰酸酯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水</w:t>
            </w:r>
          </w:p>
        </w:tc>
        <w:tc>
          <w:tcPr>
            <w:tcW w:w="284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商业机密</w:t>
            </w:r>
          </w:p>
          <w:p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sz w:val="24"/>
              </w:rPr>
              <w:t>7732-18-5</w:t>
            </w:r>
          </w:p>
        </w:tc>
        <w:tc>
          <w:tcPr>
            <w:tcW w:w="310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line="300" w:lineRule="auto"/>
              <w:ind w:right="48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＞</w:t>
            </w:r>
            <w:r>
              <w:rPr>
                <w:rFonts w:hint="eastAsia"/>
                <w:sz w:val="24"/>
                <w:lang w:val="en-US" w:eastAsia="zh-CN"/>
              </w:rPr>
              <w:t>30</w:t>
            </w:r>
          </w:p>
          <w:p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＞5</w:t>
            </w:r>
            <w:r>
              <w:rPr>
                <w:sz w:val="24"/>
              </w:rPr>
              <w:t>0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66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119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676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立即脱掉所有被污染的衣物。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1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676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ind w:left="47" w:leftChars="19" w:hanging="7" w:hangingChars="3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禁止催吐，须就医。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1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676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撑开眼睑，用温水长时间冲洗（至少</w:t>
            </w: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分钟），就诊眼科医生。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119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676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1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676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ind w:left="47" w:leftChars="19" w:hanging="7" w:hangingChars="3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若刺激呼吸道，就医。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402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379" w:type="dxa"/>
            <w:tcBorders>
              <w:top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），泡沫，灭火粉末，大火时应用喷洒水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402" w:type="dxa"/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379" w:type="dxa"/>
          </w:tcPr>
          <w:p>
            <w:pPr>
              <w:tabs>
                <w:tab w:val="left" w:pos="-108"/>
              </w:tabs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379" w:type="dxa"/>
          </w:tcPr>
          <w:p>
            <w:pPr>
              <w:spacing w:line="300" w:lineRule="auto"/>
              <w:ind w:left="34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燃烧时释放一氧化碳、二氧化碳、氮氧化物和少量的氰化氢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3402" w:type="dxa"/>
          </w:tcPr>
          <w:p>
            <w:pPr>
              <w:spacing w:line="300" w:lineRule="auto"/>
              <w:rPr>
                <w:b/>
                <w:sz w:val="24"/>
              </w:rPr>
            </w:pPr>
          </w:p>
        </w:tc>
        <w:tc>
          <w:tcPr>
            <w:tcW w:w="6379" w:type="dxa"/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402" w:type="dxa"/>
            <w:tcBorders>
              <w:bottom w:val="single" w:color="auto" w:sz="4" w:space="0"/>
            </w:tcBorders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379" w:type="dxa"/>
            <w:tcBorders>
              <w:bottom w:val="single" w:color="auto" w:sz="4" w:space="0"/>
            </w:tcBorders>
          </w:tcPr>
          <w:p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360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421" w:type="dxa"/>
            <w:tcBorders>
              <w:top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戴防护设备。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排气。令未授权人员离开。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60" w:type="dxa"/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环境保护措施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421" w:type="dxa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b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60" w:type="dxa"/>
            <w:tcBorders>
              <w:bottom w:val="single" w:color="auto" w:sz="4" w:space="0"/>
            </w:tcBorders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421" w:type="dxa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清除泄漏物；用湿的吸收材料（如锯末、基于水合硅酸钙的化学材料、沙）覆盖剩余物。 约1小时后转移至废物容器内，禁止密封（放出二氧化碳！）保持潮湿于安全通风处放置几天 。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360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421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tabs>
                <w:tab w:val="left" w:pos="6129"/>
              </w:tabs>
              <w:autoSpaceDE w:val="0"/>
              <w:autoSpaceDN w:val="0"/>
              <w:adjustRightInd w:val="0"/>
              <w:spacing w:line="300" w:lineRule="auto"/>
              <w:ind w:right="482"/>
              <w:jc w:val="left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在工作室内提供足够的空气交换和/或排气。 产品喷涂时要有必要的排气通风。</w:t>
            </w:r>
          </w:p>
          <w:p>
            <w:pPr>
              <w:tabs>
                <w:tab w:val="left" w:pos="6129"/>
              </w:tabs>
              <w:autoSpaceDE w:val="0"/>
              <w:autoSpaceDN w:val="0"/>
              <w:adjustRightInd w:val="0"/>
              <w:spacing w:line="300" w:lineRule="auto"/>
              <w:ind w:right="482"/>
              <w:jc w:val="left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在产品气溶胶和/或蒸气浓度产生的所有地方都必须提供通风，确保不超过OEL值。 员工操作产品处的空气应被抽走。</w:t>
            </w:r>
          </w:p>
          <w:p>
            <w:pPr>
              <w:tabs>
                <w:tab w:val="left" w:pos="6129"/>
              </w:tabs>
              <w:autoSpaceDE w:val="0"/>
              <w:autoSpaceDN w:val="0"/>
              <w:adjustRightInd w:val="0"/>
              <w:spacing w:line="300" w:lineRule="auto"/>
              <w:ind w:right="482"/>
              <w:jc w:val="left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必须遵守第8部分所述的个人防护措施。 避免接触皮肤和眼睛，避免吸入蒸气。</w:t>
            </w:r>
          </w:p>
          <w:p>
            <w:pPr>
              <w:tabs>
                <w:tab w:val="left" w:pos="6129"/>
              </w:tabs>
              <w:autoSpaceDE w:val="0"/>
              <w:autoSpaceDN w:val="0"/>
              <w:adjustRightInd w:val="0"/>
              <w:spacing w:line="300" w:lineRule="auto"/>
              <w:ind w:right="482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远离食物，饮料和烟草。 休息前和工作后要洗手，并涂护肤药膏。 将工作服单独存放。 立即脱掉所有被污染的衣服。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360" w:type="dxa"/>
            <w:tcBorders>
              <w:top w:val="nil"/>
              <w:bottom w:val="single" w:color="auto" w:sz="4" w:space="0"/>
            </w:tcBorders>
          </w:tcPr>
          <w:p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421" w:type="dxa"/>
            <w:tcBorders>
              <w:top w:val="nil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将容器放在阴凉通风处. 容器必须配备减压装置。 避免加热到高于 25</w:t>
            </w:r>
            <w:r>
              <w:rPr>
                <w:rFonts w:hint="eastAsia" w:cs="Arial"/>
                <w:kern w:val="0"/>
                <w:sz w:val="24"/>
                <w:lang w:val="en-US" w:eastAsia="zh-CN"/>
              </w:rPr>
              <w:t>℃</w:t>
            </w:r>
            <w:r>
              <w:rPr>
                <w:rFonts w:hint="eastAsia" w:cs="Arial"/>
                <w:kern w:val="0"/>
                <w:sz w:val="24"/>
              </w:rPr>
              <w:t xml:space="preserve"> 和冷却到低于 5 </w:t>
            </w:r>
            <w:r>
              <w:rPr>
                <w:rFonts w:hint="eastAsia" w:cs="Arial"/>
                <w:kern w:val="0"/>
                <w:sz w:val="24"/>
                <w:lang w:val="en-US" w:eastAsia="zh-CN"/>
              </w:rPr>
              <w:t>℃</w:t>
            </w:r>
            <w:r>
              <w:rPr>
                <w:rFonts w:hint="eastAsia" w:cs="Arial"/>
                <w:kern w:val="0"/>
                <w:sz w:val="24"/>
              </w:rPr>
              <w:t xml:space="preserve"> 为保持产品</w:t>
            </w:r>
          </w:p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5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0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rFonts w:hint="eastAsia"/>
                <w:b/>
                <w:sz w:val="24"/>
              </w:rPr>
              <w:t>控制参数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9860" w:type="dxa"/>
            <w:gridSpan w:val="2"/>
            <w:tcBorders>
              <w:top w:val="nil"/>
              <w:bottom w:val="single" w:color="auto" w:sz="4" w:space="0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根据</w:t>
            </w:r>
            <w:r>
              <w:rPr>
                <w:b/>
                <w:sz w:val="24"/>
              </w:rPr>
              <w:t>EC</w:t>
            </w:r>
            <w:r>
              <w:rPr>
                <w:rFonts w:hint="eastAsia"/>
                <w:b/>
                <w:sz w:val="24"/>
              </w:rPr>
              <w:t>指令</w:t>
            </w:r>
            <w:r>
              <w:rPr>
                <w:b/>
                <w:sz w:val="24"/>
              </w:rPr>
              <w:t>2006/121/EG,</w:t>
            </w:r>
            <w:r>
              <w:rPr>
                <w:rFonts w:hint="eastAsia"/>
                <w:b/>
                <w:sz w:val="24"/>
              </w:rPr>
              <w:t>无可用的接触限值信息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8.2</w:t>
            </w:r>
            <w:r>
              <w:rPr>
                <w:rFonts w:hint="eastAsia"/>
                <w:b/>
                <w:sz w:val="24"/>
              </w:rPr>
              <w:t>暴露控制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tabs>
                <w:tab w:val="left" w:pos="3451"/>
              </w:tabs>
              <w:spacing w:line="300" w:lineRule="auto"/>
              <w:ind w:left="3855" w:hanging="3855" w:hangingChars="16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戴眼罩</w:t>
            </w:r>
            <w:r>
              <w:rPr>
                <w:rFonts w:cs="Arial"/>
                <w:kern w:val="0"/>
                <w:sz w:val="24"/>
              </w:rPr>
              <w:t>/</w:t>
            </w:r>
            <w:r>
              <w:rPr>
                <w:rFonts w:hint="eastAsia" w:hAnsi="Arial" w:cs="Arial"/>
                <w:kern w:val="0"/>
                <w:sz w:val="24"/>
              </w:rPr>
              <w:t>面罩。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3360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500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ind w:left="732" w:hanging="732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外观：</w:t>
            </w:r>
            <w:r>
              <w:rPr>
                <w:b/>
                <w:sz w:val="24"/>
              </w:rPr>
              <w:t xml:space="preserve">  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乳白色液体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嗅觉阀值：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pH</w:t>
            </w:r>
            <w:r>
              <w:rPr>
                <w:rFonts w:hint="eastAsia"/>
                <w:b/>
                <w:sz w:val="24"/>
              </w:rPr>
              <w:t>值：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8</w:t>
            </w: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  <w:lang w:val="en-US" w:eastAsia="zh-CN"/>
              </w:rPr>
              <w:t>12</w:t>
            </w:r>
            <w:r>
              <w:rPr>
                <w:sz w:val="24"/>
              </w:rPr>
              <w:t xml:space="preserve">            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初沸点：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100</w:t>
            </w:r>
            <w:r>
              <w:rPr>
                <w:rFonts w:hint="eastAsia"/>
                <w:sz w:val="24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闪点：</w:t>
            </w:r>
            <w:r>
              <w:rPr>
                <w:b/>
                <w:sz w:val="24"/>
              </w:rPr>
              <w:t xml:space="preserve">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初</w:t>
            </w:r>
            <w:r>
              <w:rPr>
                <w:rFonts w:hint="eastAsia" w:hAnsi="Arial"/>
                <w:sz w:val="24"/>
              </w:rPr>
              <w:t>沸点以下无闪点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蒸发速率：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可燃性（固态、气态）：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燃烧值：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相对蒸气密度：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密度：</w:t>
            </w:r>
            <w:r>
              <w:rPr>
                <w:b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1.</w:t>
            </w:r>
            <w:r>
              <w:rPr>
                <w:rFonts w:hint="eastAsia"/>
                <w:sz w:val="24"/>
                <w:lang w:val="en-US" w:eastAsia="zh-CN"/>
              </w:rPr>
              <w:t>1</w:t>
            </w:r>
            <w:r>
              <w:rPr>
                <w:rFonts w:hint="eastAsia"/>
                <w:sz w:val="24"/>
              </w:rPr>
              <w:t>-1.</w:t>
            </w:r>
            <w:r>
              <w:rPr>
                <w:rFonts w:hint="eastAsia"/>
                <w:sz w:val="24"/>
                <w:lang w:val="en-US" w:eastAsia="zh-CN"/>
              </w:rPr>
              <w:t>2</w:t>
            </w:r>
            <w:r>
              <w:rPr>
                <w:sz w:val="24"/>
              </w:rPr>
              <w:t>g/cm</w:t>
            </w:r>
            <w:r>
              <w:rPr>
                <w:sz w:val="24"/>
                <w:vertAlign w:val="superscript"/>
              </w:rPr>
              <w:t xml:space="preserve">3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水溶性：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完全混溶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表面张力：</w:t>
            </w:r>
            <w:r>
              <w:rPr>
                <w:rFonts w:cs="Arial"/>
                <w:kern w:val="0"/>
                <w:sz w:val="24"/>
              </w:rPr>
              <w:t xml:space="preserve">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辛醇</w:t>
            </w:r>
            <w:r>
              <w:rPr>
                <w:rFonts w:cs="Arial"/>
                <w:b/>
                <w:kern w:val="0"/>
                <w:sz w:val="24"/>
              </w:rPr>
              <w:t>/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水分配系数的对数值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自燃温度：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引燃温度：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9.17动力粘度：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pStyle w:val="11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100-5000</w:t>
            </w:r>
            <w:r>
              <w:rPr>
                <w:rFonts w:cs="Arial"/>
                <w:kern w:val="0"/>
                <w:sz w:val="24"/>
              </w:rPr>
              <w:t xml:space="preserve"> mPa.s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938"/>
              </w:tabs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9.18</w:t>
            </w:r>
            <w:r>
              <w:rPr>
                <w:rFonts w:hint="eastAsia" w:cs="Arial"/>
                <w:b/>
                <w:kern w:val="0"/>
                <w:sz w:val="24"/>
              </w:rPr>
              <w:t>固体含量：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>
            <w:pPr>
              <w:pStyle w:val="11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/>
                <w:kern w:val="0"/>
                <w:sz w:val="24"/>
                <w:lang w:val="en-US" w:eastAsia="zh-CN"/>
              </w:rPr>
              <w:t>38</w:t>
            </w:r>
            <w:r>
              <w:rPr>
                <w:rFonts w:hint="eastAsia"/>
                <w:kern w:val="0"/>
                <w:sz w:val="24"/>
              </w:rPr>
              <w:t>±</w:t>
            </w:r>
            <w:r>
              <w:rPr>
                <w:rFonts w:hint="eastAsia"/>
                <w:kern w:val="0"/>
                <w:sz w:val="24"/>
                <w:lang w:val="en-US" w:eastAsia="zh-CN"/>
              </w:rPr>
              <w:t>2</w:t>
            </w:r>
            <w:r>
              <w:rPr>
                <w:rFonts w:hint="eastAsia" w:cs="Arial"/>
                <w:kern w:val="0"/>
                <w:sz w:val="24"/>
              </w:rPr>
              <w:t>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9.19</w:t>
            </w:r>
            <w:r>
              <w:rPr>
                <w:rFonts w:hint="eastAsia" w:cs="Arial"/>
                <w:b/>
                <w:kern w:val="0"/>
                <w:sz w:val="24"/>
              </w:rPr>
              <w:t>其他信息：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pStyle w:val="11"/>
              <w:spacing w:line="300" w:lineRule="auto"/>
              <w:ind w:right="34" w:rightChars="16" w:firstLine="0" w:firstLineChars="0"/>
              <w:rPr>
                <w:rFonts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上述数据非产品指标，产品指标请参见产品技术信息表。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高温下会放出二氧化碳</w:t>
            </w:r>
            <w:r>
              <w:rPr>
                <w:rFonts w:hint="eastAsia" w:hAnsi="Arial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长期存放会放出二氧化碳</w:t>
            </w:r>
            <w:r>
              <w:rPr>
                <w:rFonts w:hint="eastAsia" w:hAnsi="Arial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与胺类及醇类发生放热反应；与水反应生成CO2，在密闭容器中，因压力升高而有爆裂的危险。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tcBorders>
              <w:top w:val="single" w:color="auto" w:sz="4" w:space="0"/>
              <w:bottom w:val="nil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请参阅以下数据：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11.1 毒理学效应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急性毒性，经口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半数致死剂量(LD50) 大鼠, 雌性: &gt; 2,000 mg/kg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方法: OECD化学品测试指南423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对产品的研究.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急性毒性，经皮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科学地研究，而不仅仅是合理地研究。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急性毒性，吸入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半数致死浓度（LC50） 大鼠: &gt; 1.12 mg/l, 4 h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试验环境: 粉尘/烟雾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评估: 此物质或混合物无急性吸入毒性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在试验条件下未见死亡。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方法: 专家意见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原发性皮肤刺激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物种: 体外试验体系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结果: 无腐蚀性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方法: OECD化学品测试指南431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对产品的研究.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物种: 体外试验体系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结果: 无刺激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分类: 无皮肤刺激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方法: OECD化学品测试指南439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对产品的研究.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原发性粘膜刺激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物种: 体外试验体系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结果: 阴性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方法: 体外眼刺激测试（HCE 测试）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对产品的研究.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结果: 无刺激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分类: 无眼睛刺激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专家意见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致敏性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皮肤致敏性（局部淋巴结试验(LLNA)）：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物种: 小鼠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结果: 阴性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分类: 不引起皮肤过敏。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方法: OECD化学品测试指南429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对产品的研究.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亚急性，亚慢性和延迟毒性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无数据资料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致癌性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无数据资料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生殖毒性/生育力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无数据资料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生殖毒性/致畸性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无数据资料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体外遗传毒性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测试种类: Ames试验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实验体系: Salmonella typhimurium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代谢活化: 有/无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结果: 阳性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方法: OECD化学品测试指南471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对产品的研究.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体内基因毒性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无数据资料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STOT 评估 – 一次性接触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基于现有数据，未满足分类标准。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STOT 评估 – 重复性接触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无数据资料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吸入危害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无数据资料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CMR 评估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致癌性: 无数据资料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致突变性: AMES 试验中的致突变性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致畸性: 无数据资料</w:t>
            </w:r>
          </w:p>
          <w:p>
            <w:r>
              <w:rPr>
                <w:rFonts w:hint="eastAsia"/>
              </w:rPr>
              <w:t>生殖毒性/生育力: 无数据资料</w:t>
            </w:r>
          </w:p>
          <w:p>
            <w:pPr>
              <w:spacing w:line="300" w:lineRule="auto"/>
              <w:rPr>
                <w:sz w:val="24"/>
              </w:rPr>
            </w:pP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9781" w:type="dxa"/>
            <w:tcBorders>
              <w:top w:val="single" w:color="auto" w:sz="4" w:space="0"/>
              <w:bottom w:val="nil"/>
            </w:tcBorders>
          </w:tcPr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禁止排入下水道，废水或土壤中。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请参阅以下数据： </w:t>
            </w:r>
          </w:p>
          <w:p>
            <w:pPr>
              <w:spacing w:line="300" w:lineRule="auto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1</w:t>
            </w:r>
            <w:r>
              <w:rPr>
                <w:rFonts w:hint="eastAsia"/>
                <w:b/>
                <w:bCs/>
                <w:sz w:val="24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sz w:val="24"/>
              </w:rPr>
              <w:t xml:space="preserve">.1 毒性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急性鱼类毒性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半数致死浓度（LC50） &gt; 100 mg/l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物种: 斑马鱼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试验周期: 96 h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方法: OECD化学品测试指南203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对类似产品的研究。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急性水溞毒性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EL50 &gt; 100 mg/l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物种: 大型溞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试验周期: 48 h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对产品的研究.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急性藻类毒性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ErC50 &gt; 100 mg/l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端点: 生长抑制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物种: 近具刺链带藻（绿藻）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试验周期: 72 h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方法: OECD化学品测试指南201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对类似产品的研究。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NOEC &gt;= 100 mg/l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物种: 近具刺链带藻（绿藻）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试验周期: 72 h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方法: OECD化学品测试指南201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对类似产品的研究。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急性细菌毒性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半数有效浓度(EC50) &gt; 1,000 mg/l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测试种类: 呼吸抑制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物种: 活性污泥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试验周期: 3 h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方法: OECD化学品测试指南209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对产品的研究.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  <w:lang w:val="en-US" w:eastAsia="zh-CN"/>
              </w:rPr>
              <w:t>2</w:t>
            </w:r>
            <w:r>
              <w:rPr>
                <w:rFonts w:hint="eastAsia"/>
                <w:sz w:val="24"/>
              </w:rPr>
              <w:t>.</w:t>
            </w:r>
            <w:r>
              <w:rPr>
                <w:rFonts w:hint="eastAsia"/>
                <w:sz w:val="24"/>
                <w:lang w:val="en-US" w:eastAsia="zh-CN"/>
              </w:rPr>
              <w:t>2</w:t>
            </w:r>
            <w:r>
              <w:rPr>
                <w:rFonts w:hint="eastAsia"/>
                <w:sz w:val="24"/>
              </w:rPr>
              <w:t xml:space="preserve"> 持久性和降解性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生物降解性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接种体: 活性污泥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生物降解性: 2 %, 28 d, 不易降解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方法: OECD化学品测试指南301 F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  <w:lang w:val="en-US" w:eastAsia="zh-CN"/>
              </w:rPr>
              <w:t>2</w:t>
            </w:r>
            <w:r>
              <w:rPr>
                <w:rFonts w:hint="eastAsia"/>
                <w:sz w:val="24"/>
              </w:rPr>
              <w:t xml:space="preserve">.3 生物蓄积性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无数据资料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  <w:lang w:val="en-US" w:eastAsia="zh-CN"/>
              </w:rPr>
              <w:t>2</w:t>
            </w:r>
            <w:r>
              <w:rPr>
                <w:rFonts w:hint="eastAsia"/>
                <w:sz w:val="24"/>
              </w:rPr>
              <w:t xml:space="preserve">.4 土壤中的迁移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无数据资料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  <w:lang w:val="en-US" w:eastAsia="zh-CN"/>
              </w:rPr>
              <w:t>2</w:t>
            </w:r>
            <w:r>
              <w:rPr>
                <w:rFonts w:hint="eastAsia"/>
                <w:sz w:val="24"/>
              </w:rPr>
              <w:t xml:space="preserve">.5 PBT 和 vPvB 评估结果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无数据资料 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  <w:lang w:val="en-US" w:eastAsia="zh-CN"/>
              </w:rPr>
              <w:t>2</w:t>
            </w:r>
            <w:r>
              <w:rPr>
                <w:rFonts w:hint="eastAsia"/>
                <w:sz w:val="24"/>
              </w:rPr>
              <w:t xml:space="preserve">.6 其它不利的影响 </w:t>
            </w:r>
          </w:p>
          <w:p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/>
                <w:sz w:val="24"/>
              </w:rPr>
              <w:t>无数据资料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spacing w:before="62" w:beforeLines="20" w:after="62" w:afterLines="20"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必需遵守适用的国标、国家或当地法规进行废弃。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tabs>
                <w:tab w:val="left" w:pos="3275"/>
              </w:tabs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single" w:color="auto" w:sz="4" w:space="0"/>
            </w:tcBorders>
          </w:tcPr>
          <w:p>
            <w:pPr>
              <w:numPr>
                <w:ilvl w:val="1"/>
                <w:numId w:val="9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379" w:type="dxa"/>
            <w:tcBorders>
              <w:top w:val="single" w:color="auto" w:sz="4" w:space="0"/>
            </w:tcBorders>
          </w:tcPr>
          <w:p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非危险品陆运输方式，符合</w:t>
            </w:r>
            <w:r>
              <w:rPr>
                <w:sz w:val="24"/>
              </w:rPr>
              <w:t>ADG</w:t>
            </w:r>
            <w:r>
              <w:rPr>
                <w:rFonts w:hint="eastAsia" w:hAnsi="Arial"/>
                <w:sz w:val="24"/>
              </w:rPr>
              <w:t>准则。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</w:tcPr>
          <w:p>
            <w:pPr>
              <w:numPr>
                <w:ilvl w:val="1"/>
                <w:numId w:val="9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379" w:type="dxa"/>
          </w:tcPr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非危险品海运方式，符合</w:t>
            </w:r>
            <w:r>
              <w:rPr>
                <w:sz w:val="24"/>
              </w:rPr>
              <w:t>IMDG</w:t>
            </w:r>
            <w:r>
              <w:rPr>
                <w:rFonts w:hint="eastAsia" w:hAnsi="Arial"/>
                <w:sz w:val="24"/>
              </w:rPr>
              <w:t>准则。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</w:tcPr>
          <w:p>
            <w:pPr>
              <w:numPr>
                <w:ilvl w:val="1"/>
                <w:numId w:val="9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379" w:type="dxa"/>
          </w:tcPr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非危险品运输方式，符合</w:t>
            </w:r>
            <w:r>
              <w:rPr>
                <w:sz w:val="24"/>
              </w:rPr>
              <w:t>IATA</w:t>
            </w:r>
            <w:r>
              <w:rPr>
                <w:rFonts w:hint="eastAsia" w:hAnsi="Arial"/>
                <w:sz w:val="24"/>
              </w:rPr>
              <w:t>准则。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402" w:type="dxa"/>
            <w:tcBorders>
              <w:bottom w:val="single" w:color="auto" w:sz="4" w:space="0"/>
            </w:tcBorders>
          </w:tcPr>
          <w:p>
            <w:pPr>
              <w:numPr>
                <w:ilvl w:val="1"/>
                <w:numId w:val="9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379" w:type="dxa"/>
            <w:tcBorders>
              <w:bottom w:val="single" w:color="auto" w:sz="4" w:space="0"/>
            </w:tcBorders>
          </w:tcPr>
          <w:p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  <w:p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温度不可高于</w:t>
            </w:r>
            <w:r>
              <w:rPr>
                <w:sz w:val="24"/>
              </w:rPr>
              <w:t>+40</w:t>
            </w:r>
            <w:r>
              <w:rPr>
                <w:rFonts w:hint="eastAsia"/>
                <w:sz w:val="24"/>
              </w:rPr>
              <w:t>℃，温度不可低于﹢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远离食物、酸和碱。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>
            <w:pPr>
              <w:spacing w:line="300" w:lineRule="auto"/>
              <w:ind w:right="480" w:rightChars="0"/>
              <w:rPr>
                <w:b/>
                <w:sz w:val="24"/>
              </w:rPr>
            </w:pPr>
            <w:bookmarkStart w:id="0" w:name="_GoBack" w:colFirst="0" w:colLast="0"/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nil"/>
            </w:tcBorders>
            <w:vAlign w:val="top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nil"/>
              <w:bottom w:val="nil"/>
            </w:tcBorders>
            <w:vAlign w:val="top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nil"/>
              <w:bottom w:val="nil"/>
            </w:tcBorders>
            <w:vAlign w:val="top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  <w:vAlign w:val="top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危险化学品安全管理条例，国务院令591号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  <w:vAlign w:val="top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  <w:vAlign w:val="top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  <w:vAlign w:val="top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</w:t>
            </w:r>
            <w:r>
              <w:rPr>
                <w:rFonts w:hint="eastAsia" w:cs="Arial"/>
                <w:bCs/>
                <w:kern w:val="0"/>
                <w:sz w:val="24"/>
              </w:rPr>
              <w:t>30000.2-29 化学品分类和标签规范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GB 15258 化学品安全标签编写规定</w:t>
            </w:r>
          </w:p>
        </w:tc>
      </w:tr>
      <w:bookmarkEnd w:id="0"/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p/>
    <w:sectPr>
      <w:headerReference r:id="rId3" w:type="default"/>
      <w:footerReference r:id="rId4" w:type="default"/>
      <w:pgSz w:w="11906" w:h="16838"/>
      <w:pgMar w:top="2503" w:right="1077" w:bottom="1418" w:left="1077" w:header="851" w:footer="73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>
          <w:pPr>
            <w:pStyle w:val="2"/>
            <w:jc w:val="both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 BL-8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085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>
          <w:pPr>
            <w:ind w:firstLine="8730" w:firstLineChars="4850"/>
            <w:jc w:val="right"/>
            <w:rPr>
              <w:rFonts w:hint="eastAsia" w:eastAsia="宋体"/>
              <w:kern w:val="0"/>
              <w:sz w:val="20"/>
              <w:lang w:val="en-US" w:eastAsia="zh-CN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</w:t>
          </w:r>
          <w:r>
            <w:rPr>
              <w:rFonts w:hint="eastAsia"/>
              <w:kern w:val="0"/>
              <w:sz w:val="20"/>
              <w:szCs w:val="21"/>
            </w:rPr>
            <w:t>修订日期：</w:t>
          </w:r>
          <w:r>
            <w:rPr>
              <w:rFonts w:hint="eastAsia"/>
              <w:kern w:val="0"/>
              <w:sz w:val="20"/>
              <w:szCs w:val="21"/>
              <w:lang w:eastAsia="zh-CN"/>
            </w:rPr>
            <w:t>2023-9-27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>
    <w:pPr>
      <w:wordWrap w:val="0"/>
      <w:jc w:val="right"/>
      <w:rPr>
        <w:rFonts w:ascii="Arial" w:hAnsi="Arial" w:eastAsia="楷体_GB2312"/>
        <w:sz w:val="18"/>
        <w:szCs w:val="18"/>
      </w:rPr>
    </w:pPr>
    <w:r>
      <w:rPr>
        <w:rFonts w:ascii="Arial" w:eastAsia="楷体_GB2312"/>
        <w:sz w:val="18"/>
        <w:szCs w:val="18"/>
      </w:rPr>
      <w:t>Version</w:t>
    </w:r>
    <w:r>
      <w:rPr>
        <w:rFonts w:hint="eastAsia" w:ascii="Arial" w:eastAsia="楷体_GB2312"/>
        <w:sz w:val="18"/>
        <w:szCs w:val="18"/>
      </w:rPr>
      <w:t>：</w:t>
    </w:r>
    <w:r>
      <w:rPr>
        <w:rFonts w:ascii="Arial" w:hAnsi="Arial" w:eastAsia="楷体_GB2312"/>
        <w:sz w:val="18"/>
        <w:szCs w:val="18"/>
      </w:rPr>
      <w:t>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</w:rPr>
            <w:t>BL-8</w:t>
          </w: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085</w:t>
          </w:r>
        </w:p>
      </w:tc>
    </w:tr>
  </w:tbl>
  <w:p>
    <w:pPr>
      <w:jc w:val="left"/>
      <w:rPr>
        <w:rFonts w:ascii="Arial" w:hAnsi="Arial" w:eastAsia="楷体_GB2312"/>
        <w:color w:val="7F7F7F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0568C"/>
    <w:multiLevelType w:val="multilevel"/>
    <w:tmpl w:val="0D10568C"/>
    <w:lvl w:ilvl="0" w:tentative="0">
      <w:start w:val="14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20575178"/>
    <w:multiLevelType w:val="multilevel"/>
    <w:tmpl w:val="20575178"/>
    <w:lvl w:ilvl="0" w:tentative="0">
      <w:start w:val="1"/>
      <w:numFmt w:val="decimal"/>
      <w:lvlText w:val="9.%1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>
    <w:nsid w:val="357A479D"/>
    <w:multiLevelType w:val="multilevel"/>
    <w:tmpl w:val="357A479D"/>
    <w:lvl w:ilvl="0" w:tentative="0">
      <w:start w:val="1"/>
      <w:numFmt w:val="decimal"/>
      <w:lvlText w:val="5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>
    <w:nsid w:val="50075728"/>
    <w:multiLevelType w:val="multilevel"/>
    <w:tmpl w:val="50075728"/>
    <w:lvl w:ilvl="0" w:tentative="0">
      <w:start w:val="1"/>
      <w:numFmt w:val="decimal"/>
      <w:lvlText w:val="10.%1"/>
      <w:lvlJc w:val="left"/>
      <w:pPr>
        <w:ind w:left="84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4">
    <w:nsid w:val="5F5B032F"/>
    <w:multiLevelType w:val="multilevel"/>
    <w:tmpl w:val="5F5B032F"/>
    <w:lvl w:ilvl="0" w:tentative="0">
      <w:start w:val="1"/>
      <w:numFmt w:val="decimal"/>
      <w:lvlText w:val="%1"/>
      <w:lvlJc w:val="left"/>
      <w:pPr>
        <w:tabs>
          <w:tab w:val="left" w:pos="660"/>
        </w:tabs>
        <w:ind w:left="660" w:hanging="66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60"/>
        </w:tabs>
        <w:ind w:left="660" w:hanging="66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5">
    <w:nsid w:val="5FF5793B"/>
    <w:multiLevelType w:val="multilevel"/>
    <w:tmpl w:val="5FF5793B"/>
    <w:lvl w:ilvl="0" w:tentative="0">
      <w:start w:val="1"/>
      <w:numFmt w:val="decimal"/>
      <w:lvlText w:val="4.%1."/>
      <w:lvlJc w:val="left"/>
      <w:pPr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6">
    <w:nsid w:val="6D6B60C3"/>
    <w:multiLevelType w:val="multilevel"/>
    <w:tmpl w:val="6D6B60C3"/>
    <w:lvl w:ilvl="0" w:tentative="0">
      <w:start w:val="1"/>
      <w:numFmt w:val="decimal"/>
      <w:lvlText w:val="6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7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8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2"/>
  </w:num>
  <w:num w:numId="5">
    <w:abstractNumId w:val="6"/>
  </w:num>
  <w:num w:numId="6">
    <w:abstractNumId w:val="7"/>
  </w:num>
  <w:num w:numId="7">
    <w:abstractNumId w:val="1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ZDkyZDE2MzdmZjRiMjBhMjYzZmE3MGFmMTY4N2ZhOTAifQ=="/>
  </w:docVars>
  <w:rsids>
    <w:rsidRoot w:val="003F27B9"/>
    <w:rsid w:val="00054D63"/>
    <w:rsid w:val="000A232D"/>
    <w:rsid w:val="000D08E9"/>
    <w:rsid w:val="000F3AE7"/>
    <w:rsid w:val="001951AC"/>
    <w:rsid w:val="001D6EF0"/>
    <w:rsid w:val="001E2EBB"/>
    <w:rsid w:val="00215F0B"/>
    <w:rsid w:val="0022163F"/>
    <w:rsid w:val="00266D33"/>
    <w:rsid w:val="00270828"/>
    <w:rsid w:val="002E1F13"/>
    <w:rsid w:val="00306061"/>
    <w:rsid w:val="00322097"/>
    <w:rsid w:val="0034451F"/>
    <w:rsid w:val="003457F9"/>
    <w:rsid w:val="003C1007"/>
    <w:rsid w:val="003F27B9"/>
    <w:rsid w:val="004148B3"/>
    <w:rsid w:val="00431DDB"/>
    <w:rsid w:val="00435E38"/>
    <w:rsid w:val="00447F32"/>
    <w:rsid w:val="00456CDB"/>
    <w:rsid w:val="004A3278"/>
    <w:rsid w:val="005862EB"/>
    <w:rsid w:val="005C42F9"/>
    <w:rsid w:val="005C5E08"/>
    <w:rsid w:val="005C609F"/>
    <w:rsid w:val="005F347E"/>
    <w:rsid w:val="006321EB"/>
    <w:rsid w:val="00663A83"/>
    <w:rsid w:val="006861E3"/>
    <w:rsid w:val="006A4F4E"/>
    <w:rsid w:val="00754F1F"/>
    <w:rsid w:val="00777D8A"/>
    <w:rsid w:val="007A2ED7"/>
    <w:rsid w:val="007C493E"/>
    <w:rsid w:val="007D6FBC"/>
    <w:rsid w:val="007E4015"/>
    <w:rsid w:val="00853404"/>
    <w:rsid w:val="00880DD7"/>
    <w:rsid w:val="00887769"/>
    <w:rsid w:val="008C4A6C"/>
    <w:rsid w:val="008D3B67"/>
    <w:rsid w:val="0092218A"/>
    <w:rsid w:val="009D4089"/>
    <w:rsid w:val="00A21619"/>
    <w:rsid w:val="00A26D98"/>
    <w:rsid w:val="00A448F7"/>
    <w:rsid w:val="00AB7498"/>
    <w:rsid w:val="00B20B21"/>
    <w:rsid w:val="00B26FBE"/>
    <w:rsid w:val="00B500B7"/>
    <w:rsid w:val="00BA1097"/>
    <w:rsid w:val="00BA6ABB"/>
    <w:rsid w:val="00BB1465"/>
    <w:rsid w:val="00BE10CE"/>
    <w:rsid w:val="00C45C80"/>
    <w:rsid w:val="00C7667B"/>
    <w:rsid w:val="00D13E1C"/>
    <w:rsid w:val="00D32CC2"/>
    <w:rsid w:val="00D75E1E"/>
    <w:rsid w:val="00DA4A26"/>
    <w:rsid w:val="00DA78A9"/>
    <w:rsid w:val="00DB72E1"/>
    <w:rsid w:val="00E34CDB"/>
    <w:rsid w:val="00E52233"/>
    <w:rsid w:val="00E73F5D"/>
    <w:rsid w:val="00E87E33"/>
    <w:rsid w:val="00EF2C4E"/>
    <w:rsid w:val="00F6692C"/>
    <w:rsid w:val="00F9634F"/>
    <w:rsid w:val="00FE5278"/>
    <w:rsid w:val="062E60F8"/>
    <w:rsid w:val="3EB2356A"/>
    <w:rsid w:val="3F7D6940"/>
    <w:rsid w:val="49163D3D"/>
    <w:rsid w:val="4BCE2903"/>
    <w:rsid w:val="54077D91"/>
    <w:rsid w:val="59E31B32"/>
    <w:rsid w:val="5DD23841"/>
    <w:rsid w:val="65675C70"/>
    <w:rsid w:val="6BB03DD3"/>
    <w:rsid w:val="728620E8"/>
    <w:rsid w:val="7FA41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unhideWhenUsed/>
    <w:qFormat/>
    <w:uiPriority w:val="99"/>
    <w:rPr>
      <w:color w:val="0000FF"/>
      <w:u w:val="single"/>
    </w:rPr>
  </w:style>
  <w:style w:type="character" w:customStyle="1" w:styleId="8">
    <w:name w:val="页眉 字符"/>
    <w:basedOn w:val="6"/>
    <w:link w:val="3"/>
    <w:semiHidden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  <w:style w:type="paragraph" w:customStyle="1" w:styleId="10">
    <w:name w:val="列出段落1"/>
    <w:basedOn w:val="1"/>
    <w:qFormat/>
    <w:uiPriority w:val="34"/>
    <w:pPr>
      <w:ind w:firstLine="420" w:firstLineChars="200"/>
    </w:pPr>
  </w:style>
  <w:style w:type="paragraph" w:customStyle="1" w:styleId="11">
    <w:name w:val="列表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2815</Words>
  <Characters>3244</Characters>
  <Lines>18</Lines>
  <Paragraphs>5</Paragraphs>
  <TotalTime>0</TotalTime>
  <ScaleCrop>false</ScaleCrop>
  <LinksUpToDate>false</LinksUpToDate>
  <CharactersWithSpaces>3518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2017-04-19T01:45:00Z</dcterms:created>
  <dc:creator>Windows 用户</dc:creator>
  <cp:lastModifiedBy>刘桂芳</cp:lastModifiedBy>
  <cp:lastPrinted>2015-09-25T02:04:00Z</cp:lastPrinted>
  <dcterms:modified xsi:type="dcterms:W3CDTF">2023-11-01T04:37:52Z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A5AC139A2E2E4A9CAC04DE5608CC1AEA</vt:lpwstr>
  </property>
</Properties>
</file>