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line="360" w:lineRule="auto"/>
        <w:ind w:firstLine="480"/>
      </w:pPr>
      <w:r>
        <w:rPr>
          <w:rFonts w:ascii="Times New Roman" w:hAnsi="Times New Roman" w:eastAsia="宋体"/>
          <w:b w:val="0"/>
          <w:sz w:val="24"/>
        </w:rPr>
        <w:t>ANNEX 4</w:t>
      </w:r>
    </w:p>
    <w:p>
      <w:pPr>
        <w:spacing w:line="360" w:lineRule="auto"/>
        <w:ind w:firstLine="480"/>
      </w:pPr>
      <w:r>
        <w:rPr>
          <w:rFonts w:ascii="Times New Roman" w:hAnsi="Times New Roman" w:eastAsia="宋体"/>
          <w:b w:val="0"/>
          <w:sz w:val="24"/>
        </w:rPr>
        <w:t>GUIDANCE ON THE PREPARATION OF</w:t>
      </w:r>
    </w:p>
    <w:p>
      <w:pPr>
        <w:spacing w:line="360" w:lineRule="auto"/>
        <w:ind w:firstLine="480"/>
      </w:pPr>
      <w:r>
        <w:rPr>
          <w:rFonts w:ascii="Times New Roman" w:hAnsi="Times New Roman" w:eastAsia="宋体"/>
          <w:b w:val="0"/>
          <w:sz w:val="24"/>
        </w:rPr>
        <w:t>SAFETY DATA SHEETS (SDS)</w:t>
      </w:r>
    </w:p>
    <w:p>
      <w:pPr>
        <w:spacing w:line="360" w:lineRule="auto"/>
        <w:ind w:firstLine="480"/>
      </w:pPr>
      <w:r>
        <w:rPr>
          <w:rFonts w:ascii="Times New Roman" w:hAnsi="Times New Roman" w:eastAsia="宋体"/>
          <w:b w:val="0"/>
          <w:sz w:val="24"/>
        </w:rPr>
        <w:t>A4.1</w:t>
      </w:r>
    </w:p>
    <w:p>
      <w:pPr>
        <w:spacing w:line="360" w:lineRule="auto"/>
        <w:ind w:firstLine="480"/>
      </w:pPr>
      <w:r>
        <w:rPr>
          <w:rFonts w:ascii="Times New Roman" w:hAnsi="Times New Roman" w:eastAsia="宋体"/>
          <w:b w:val="0"/>
          <w:sz w:val="24"/>
        </w:rPr>
        <w:t>Introduction</w:t>
      </w:r>
    </w:p>
    <w:p>
      <w:pPr>
        <w:spacing w:line="360" w:lineRule="auto"/>
        <w:ind w:firstLine="480"/>
      </w:pPr>
      <w:r>
        <w:rPr>
          <w:rFonts w:ascii="Times New Roman" w:hAnsi="Times New Roman" w:eastAsia="宋体"/>
          <w:b w:val="0"/>
          <w:sz w:val="24"/>
        </w:rPr>
        <w:t>A4.1.1</w:t>
      </w:r>
    </w:p>
    <w:p>
      <w:pPr>
        <w:spacing w:line="360" w:lineRule="auto"/>
        <w:ind w:firstLine="480"/>
      </w:pPr>
      <w:r>
        <w:rPr>
          <w:rFonts w:ascii="Times New Roman" w:hAnsi="Times New Roman" w:eastAsia="宋体"/>
          <w:b w:val="0"/>
          <w:sz w:val="24"/>
        </w:rPr>
        <w:t>This annex provides guidance on the preparation of an SDS under the requirements of the Globally</w:t>
      </w:r>
    </w:p>
    <w:p>
      <w:pPr>
        <w:spacing w:line="360" w:lineRule="auto"/>
        <w:ind w:firstLine="480"/>
      </w:pPr>
      <w:r>
        <w:rPr>
          <w:rFonts w:ascii="Times New Roman" w:hAnsi="Times New Roman" w:eastAsia="宋体"/>
          <w:b w:val="0"/>
          <w:sz w:val="24"/>
        </w:rPr>
        <w:t>Harmonized System of Classification and Labelling of Chemicals (GHS). SDS’s are an important element of hazard</w:t>
      </w:r>
    </w:p>
    <w:p>
      <w:pPr>
        <w:spacing w:line="360" w:lineRule="auto"/>
        <w:ind w:firstLine="480"/>
      </w:pPr>
      <w:r>
        <w:rPr>
          <w:rFonts w:ascii="Times New Roman" w:hAnsi="Times New Roman" w:eastAsia="宋体"/>
          <w:b w:val="0"/>
          <w:sz w:val="24"/>
        </w:rPr>
        <w:t>communication in the GHS, as explained in chapter 1.5. Use of this guidance document should support compliance with</w:t>
      </w:r>
    </w:p>
    <w:p>
      <w:pPr>
        <w:spacing w:line="360" w:lineRule="auto"/>
        <w:ind w:firstLine="480"/>
      </w:pPr>
      <w:r>
        <w:rPr>
          <w:rFonts w:ascii="Times New Roman" w:hAnsi="Times New Roman" w:eastAsia="宋体"/>
          <w:b w:val="0"/>
          <w:sz w:val="24"/>
        </w:rPr>
        <w:t>competent authority requirements and should allow the SDS to be prepared in accordance with the GHS.</w:t>
      </w:r>
    </w:p>
    <w:p>
      <w:pPr>
        <w:spacing w:line="360" w:lineRule="auto"/>
        <w:ind w:firstLine="480"/>
      </w:pPr>
      <w:r>
        <w:rPr>
          <w:rFonts w:ascii="Times New Roman" w:hAnsi="Times New Roman" w:eastAsia="宋体"/>
          <w:b w:val="0"/>
          <w:sz w:val="24"/>
        </w:rPr>
        <w:t>A4.1.2</w:t>
      </w:r>
    </w:p>
    <w:p>
      <w:pPr>
        <w:spacing w:line="360" w:lineRule="auto"/>
        <w:ind w:firstLine="480"/>
      </w:pPr>
      <w:r>
        <w:rPr>
          <w:rFonts w:ascii="Times New Roman" w:hAnsi="Times New Roman" w:eastAsia="宋体"/>
          <w:b w:val="0"/>
          <w:sz w:val="24"/>
        </w:rPr>
        <w:t>The use of this guidance document is dependent on importing countries requirements for SDS. It is</w:t>
      </w:r>
    </w:p>
    <w:p>
      <w:pPr>
        <w:spacing w:line="360" w:lineRule="auto"/>
        <w:ind w:firstLine="480"/>
      </w:pPr>
      <w:r>
        <w:rPr>
          <w:rFonts w:ascii="Times New Roman" w:hAnsi="Times New Roman" w:eastAsia="宋体"/>
          <w:b w:val="0"/>
          <w:sz w:val="24"/>
        </w:rPr>
        <w:t>hoped that the application of the GHS worldwide will eventually lead to a fully harmonized situation.</w:t>
      </w:r>
    </w:p>
    <w:p>
      <w:pPr>
        <w:spacing w:line="360" w:lineRule="auto"/>
        <w:ind w:firstLine="480"/>
      </w:pPr>
      <w:r>
        <w:rPr>
          <w:rFonts w:ascii="Times New Roman" w:hAnsi="Times New Roman" w:eastAsia="宋体"/>
          <w:b w:val="0"/>
          <w:sz w:val="24"/>
        </w:rPr>
        <w:t>A4.1.3</w:t>
      </w:r>
    </w:p>
    <w:p>
      <w:pPr>
        <w:spacing w:line="360" w:lineRule="auto"/>
        <w:ind w:firstLine="480"/>
      </w:pPr>
      <w:r>
        <w:rPr>
          <w:rFonts w:ascii="Times New Roman" w:hAnsi="Times New Roman" w:eastAsia="宋体"/>
          <w:b w:val="0"/>
          <w:sz w:val="24"/>
        </w:rPr>
        <w:t>Unless otherwise stated, all chapters, sections and tables referred to in this annex can be found in the</w:t>
      </w:r>
    </w:p>
    <w:p>
      <w:pPr>
        <w:spacing w:line="360" w:lineRule="auto"/>
        <w:ind w:firstLine="480"/>
      </w:pPr>
      <w:r>
        <w:rPr>
          <w:rFonts w:ascii="Times New Roman" w:hAnsi="Times New Roman" w:eastAsia="宋体"/>
          <w:b w:val="0"/>
          <w:sz w:val="24"/>
        </w:rPr>
        <w:t>main text of the GHS.</w:t>
      </w:r>
    </w:p>
    <w:p>
      <w:pPr>
        <w:spacing w:line="360" w:lineRule="auto"/>
        <w:ind w:firstLine="480"/>
      </w:pPr>
      <w:r>
        <w:rPr>
          <w:rFonts w:ascii="Times New Roman" w:hAnsi="Times New Roman" w:eastAsia="宋体"/>
          <w:b w:val="0"/>
          <w:sz w:val="24"/>
        </w:rPr>
        <w:t>A4.2</w:t>
      </w:r>
    </w:p>
    <w:p>
      <w:pPr>
        <w:spacing w:line="360" w:lineRule="auto"/>
        <w:ind w:firstLine="480"/>
      </w:pPr>
      <w:r>
        <w:rPr>
          <w:rFonts w:ascii="Times New Roman" w:hAnsi="Times New Roman" w:eastAsia="宋体"/>
          <w:b w:val="0"/>
          <w:sz w:val="24"/>
        </w:rPr>
        <w:t>General guidance for compiling an SDS</w:t>
      </w:r>
    </w:p>
    <w:p>
      <w:pPr>
        <w:spacing w:line="360" w:lineRule="auto"/>
        <w:ind w:firstLine="480"/>
      </w:pPr>
      <w:r>
        <w:rPr>
          <w:rFonts w:ascii="Times New Roman" w:hAnsi="Times New Roman" w:eastAsia="宋体"/>
          <w:b w:val="0"/>
          <w:sz w:val="24"/>
        </w:rPr>
        <w:t>A4.2.1</w:t>
      </w:r>
    </w:p>
    <w:p>
      <w:pPr>
        <w:spacing w:line="360" w:lineRule="auto"/>
        <w:ind w:firstLine="480"/>
      </w:pPr>
      <w:r>
        <w:rPr>
          <w:rFonts w:ascii="Times New Roman" w:hAnsi="Times New Roman" w:eastAsia="宋体"/>
          <w:b w:val="0"/>
          <w:sz w:val="24"/>
        </w:rPr>
        <w:t>Scope and application</w:t>
      </w:r>
    </w:p>
    <w:p>
      <w:pPr>
        <w:spacing w:line="360" w:lineRule="auto"/>
        <w:ind w:firstLine="480"/>
      </w:pPr>
      <w:r>
        <w:rPr>
          <w:rFonts w:ascii="Times New Roman" w:hAnsi="Times New Roman" w:eastAsia="宋体"/>
          <w:b w:val="0"/>
          <w:sz w:val="24"/>
        </w:rPr>
        <w:t>Safety Data Sheets (SDS) should be produced for all substances and mixtures which meet the</w:t>
      </w:r>
    </w:p>
    <w:p>
      <w:pPr>
        <w:spacing w:line="360" w:lineRule="auto"/>
        <w:ind w:firstLine="480"/>
      </w:pPr>
      <w:r>
        <w:rPr>
          <w:rFonts w:ascii="Times New Roman" w:hAnsi="Times New Roman" w:eastAsia="宋体"/>
          <w:b w:val="0"/>
          <w:sz w:val="24"/>
        </w:rPr>
        <w:t>harmonized criteria for physical, health or environmental hazards under the GHS and for all mixtures which contain</w:t>
      </w:r>
    </w:p>
    <w:p>
      <w:pPr>
        <w:spacing w:line="360" w:lineRule="auto"/>
        <w:ind w:firstLine="480"/>
      </w:pPr>
      <w:r>
        <w:rPr>
          <w:rFonts w:ascii="Times New Roman" w:hAnsi="Times New Roman" w:eastAsia="宋体"/>
          <w:b w:val="0"/>
          <w:sz w:val="24"/>
        </w:rPr>
        <w:t>ingredients that meet the criteria for carcinogenic, toxic to reproduction or target organ toxicity in concentrations</w:t>
      </w:r>
    </w:p>
    <w:p>
      <w:pPr>
        <w:spacing w:line="360" w:lineRule="auto"/>
        <w:ind w:firstLine="480"/>
      </w:pPr>
      <w:r>
        <w:rPr>
          <w:rFonts w:ascii="Times New Roman" w:hAnsi="Times New Roman" w:eastAsia="宋体"/>
          <w:b w:val="0"/>
          <w:sz w:val="24"/>
        </w:rPr>
        <w:t>exceeding the cut-off limits for SDS specified by the criteria for mixtures (see table 1.5.1 in chapter 1.5). The competent</w:t>
      </w:r>
    </w:p>
    <w:p>
      <w:pPr>
        <w:spacing w:line="360" w:lineRule="auto"/>
        <w:ind w:firstLine="480"/>
      </w:pPr>
      <w:r>
        <w:rPr>
          <w:rFonts w:ascii="Times New Roman" w:hAnsi="Times New Roman" w:eastAsia="宋体"/>
          <w:b w:val="0"/>
          <w:sz w:val="24"/>
        </w:rPr>
        <w:t>authority may also require SDS for mixtures not meeting the criteria for classification as hazardous, but which contain</w:t>
      </w:r>
    </w:p>
    <w:p>
      <w:pPr>
        <w:spacing w:line="360" w:lineRule="auto"/>
        <w:ind w:firstLine="480"/>
      </w:pPr>
      <w:r>
        <w:rPr>
          <w:rFonts w:ascii="Times New Roman" w:hAnsi="Times New Roman" w:eastAsia="宋体"/>
          <w:b w:val="0"/>
          <w:sz w:val="24"/>
        </w:rPr>
        <w:t>hazardous ingredients in certain concentrations (see chapter 3.2). The competent authority may also require SDS for</w:t>
      </w:r>
    </w:p>
    <w:p>
      <w:pPr>
        <w:spacing w:line="360" w:lineRule="auto"/>
        <w:ind w:firstLine="480"/>
      </w:pPr>
      <w:r>
        <w:rPr>
          <w:rFonts w:ascii="Times New Roman" w:hAnsi="Times New Roman" w:eastAsia="宋体"/>
          <w:b w:val="0"/>
          <w:sz w:val="24"/>
        </w:rPr>
        <w:t>substances or mixtures that meet the criteria for classification as hazardous for non-GHS classes/end-points. An SDS is a</w:t>
      </w:r>
    </w:p>
    <w:p>
      <w:pPr>
        <w:spacing w:line="360" w:lineRule="auto"/>
        <w:ind w:firstLine="480"/>
      </w:pPr>
      <w:r>
        <w:rPr>
          <w:rFonts w:ascii="Times New Roman" w:hAnsi="Times New Roman" w:eastAsia="宋体"/>
          <w:b w:val="0"/>
          <w:sz w:val="24"/>
        </w:rPr>
        <w:t>well-accepted and effective method for the provision of information and may be used to convey information for substances</w:t>
      </w:r>
    </w:p>
    <w:p>
      <w:pPr>
        <w:spacing w:line="360" w:lineRule="auto"/>
        <w:ind w:firstLine="480"/>
      </w:pPr>
      <w:r>
        <w:rPr>
          <w:rFonts w:ascii="Times New Roman" w:hAnsi="Times New Roman" w:eastAsia="宋体"/>
          <w:b w:val="0"/>
          <w:sz w:val="24"/>
        </w:rPr>
        <w:t>or mixtures that do not meet or are not included in the GHS classification criteria.</w:t>
      </w:r>
    </w:p>
    <w:p>
      <w:pPr>
        <w:spacing w:line="360" w:lineRule="auto"/>
        <w:ind w:firstLine="480"/>
      </w:pPr>
      <w:r>
        <w:rPr>
          <w:rFonts w:ascii="Times New Roman" w:hAnsi="Times New Roman" w:eastAsia="宋体"/>
          <w:b w:val="0"/>
          <w:sz w:val="24"/>
        </w:rPr>
        <w:t>A4.2.2</w:t>
      </w:r>
    </w:p>
    <w:p>
      <w:pPr>
        <w:spacing w:line="360" w:lineRule="auto"/>
        <w:ind w:firstLine="480"/>
      </w:pPr>
      <w:r>
        <w:rPr>
          <w:rFonts w:ascii="Times New Roman" w:hAnsi="Times New Roman" w:eastAsia="宋体"/>
          <w:b w:val="0"/>
          <w:sz w:val="24"/>
        </w:rPr>
        <w:t>General guidance</w:t>
      </w:r>
    </w:p>
    <w:p>
      <w:pPr>
        <w:spacing w:line="360" w:lineRule="auto"/>
        <w:ind w:firstLine="480"/>
      </w:pPr>
      <w:r>
        <w:rPr>
          <w:rFonts w:ascii="Times New Roman" w:hAnsi="Times New Roman" w:eastAsia="宋体"/>
          <w:b w:val="0"/>
          <w:sz w:val="24"/>
        </w:rPr>
        <w:t>A4.2.2.1</w:t>
      </w:r>
    </w:p>
    <w:p>
      <w:pPr>
        <w:spacing w:line="360" w:lineRule="auto"/>
        <w:ind w:firstLine="480"/>
      </w:pPr>
      <w:r>
        <w:rPr>
          <w:rFonts w:ascii="Times New Roman" w:hAnsi="Times New Roman" w:eastAsia="宋体"/>
          <w:b w:val="0"/>
          <w:sz w:val="24"/>
        </w:rPr>
        <w:t>The writer of the SDS needs to keep in mind that an SDS must inform its audience of the hazards of a</w:t>
      </w:r>
    </w:p>
    <w:p>
      <w:pPr>
        <w:spacing w:line="360" w:lineRule="auto"/>
        <w:ind w:firstLine="480"/>
      </w:pPr>
      <w:r>
        <w:rPr>
          <w:rFonts w:ascii="Times New Roman" w:hAnsi="Times New Roman" w:eastAsia="宋体"/>
          <w:b w:val="0"/>
          <w:sz w:val="24"/>
        </w:rPr>
        <w:t>substance or a mixture and provide information on the safe storage, handling and disposal of the substance or a mixture.</w:t>
      </w:r>
    </w:p>
    <w:p>
      <w:pPr>
        <w:spacing w:line="360" w:lineRule="auto"/>
        <w:ind w:firstLine="480"/>
      </w:pPr>
      <w:r>
        <w:rPr>
          <w:rFonts w:ascii="Times New Roman" w:hAnsi="Times New Roman" w:eastAsia="宋体"/>
          <w:b w:val="0"/>
          <w:sz w:val="24"/>
        </w:rPr>
        <w:t>An SDS contains information on the potential health effects of exposure and how to work safely with the substance or</w:t>
      </w:r>
    </w:p>
    <w:p>
      <w:pPr>
        <w:spacing w:line="360" w:lineRule="auto"/>
        <w:ind w:firstLine="480"/>
      </w:pPr>
      <w:r>
        <w:rPr>
          <w:rFonts w:ascii="Times New Roman" w:hAnsi="Times New Roman" w:eastAsia="宋体"/>
          <w:b w:val="0"/>
          <w:sz w:val="24"/>
        </w:rPr>
        <w:t>mixture. It also contains hazard information derived from physicochemical properties or environmental effects, on the</w:t>
      </w:r>
    </w:p>
    <w:p>
      <w:pPr>
        <w:spacing w:line="360" w:lineRule="auto"/>
        <w:ind w:firstLine="480"/>
      </w:pPr>
      <w:r>
        <w:rPr>
          <w:rFonts w:ascii="Times New Roman" w:hAnsi="Times New Roman" w:eastAsia="宋体"/>
          <w:b w:val="0"/>
          <w:sz w:val="24"/>
        </w:rPr>
        <w:t>use, storage, handling and emergency response measures related to that substance or mixture. The purpose of this guidance</w:t>
      </w:r>
    </w:p>
    <w:p>
      <w:pPr>
        <w:spacing w:line="360" w:lineRule="auto"/>
        <w:ind w:firstLine="480"/>
      </w:pPr>
      <w:r>
        <w:rPr>
          <w:rFonts w:ascii="Times New Roman" w:hAnsi="Times New Roman" w:eastAsia="宋体"/>
          <w:b w:val="0"/>
          <w:sz w:val="24"/>
        </w:rPr>
        <w:t>is to ensure consistency and accuracy in the content of each of the mandatory headings required under GHS, so that the</w:t>
      </w:r>
    </w:p>
    <w:p>
      <w:pPr>
        <w:spacing w:line="360" w:lineRule="auto"/>
        <w:ind w:firstLine="480"/>
      </w:pPr>
      <w:r>
        <w:rPr>
          <w:rFonts w:ascii="Times New Roman" w:hAnsi="Times New Roman" w:eastAsia="宋体"/>
          <w:b w:val="0"/>
          <w:sz w:val="24"/>
        </w:rPr>
        <w:t>resulting safety data sheets will enable users to take the necessary measures relating to protection of health and safety at</w:t>
      </w:r>
    </w:p>
    <w:p>
      <w:pPr>
        <w:spacing w:line="360" w:lineRule="auto"/>
        <w:ind w:firstLine="480"/>
      </w:pPr>
      <w:r>
        <w:rPr>
          <w:rFonts w:ascii="Times New Roman" w:hAnsi="Times New Roman" w:eastAsia="宋体"/>
          <w:b w:val="0"/>
          <w:sz w:val="24"/>
        </w:rPr>
        <w:t>the workplace, and the protection of the environment. The information in the SDS shall be written in a clear and concise</w:t>
      </w:r>
    </w:p>
    <w:p>
      <w:pPr>
        <w:spacing w:line="360" w:lineRule="auto"/>
        <w:ind w:firstLine="480"/>
      </w:pPr>
      <w:r>
        <w:rPr>
          <w:rFonts w:ascii="Times New Roman" w:hAnsi="Times New Roman" w:eastAsia="宋体"/>
          <w:b w:val="0"/>
          <w:sz w:val="24"/>
        </w:rPr>
        <w:t>manner. The SDS shall be prepared by a competent person who shall take into account the specific needs of the user</w:t>
      </w:r>
    </w:p>
    <w:p>
      <w:pPr>
        <w:spacing w:line="360" w:lineRule="auto"/>
        <w:ind w:firstLine="480"/>
      </w:pPr>
      <w:r>
        <w:rPr>
          <w:rFonts w:ascii="Times New Roman" w:hAnsi="Times New Roman" w:eastAsia="宋体"/>
          <w:b w:val="0"/>
          <w:sz w:val="24"/>
        </w:rPr>
        <w:t>audience, as far as it is known. Persons placing substances and mixtures on the market shall ensure that refresher courses</w:t>
      </w:r>
    </w:p>
    <w:p>
      <w:pPr>
        <w:spacing w:line="360" w:lineRule="auto"/>
        <w:ind w:firstLine="480"/>
      </w:pPr>
      <w:r>
        <w:rPr>
          <w:rFonts w:ascii="Times New Roman" w:hAnsi="Times New Roman" w:eastAsia="宋体"/>
          <w:b w:val="0"/>
          <w:sz w:val="24"/>
        </w:rPr>
        <w:t>and training on the preparation of SDS be regularly attended by the competent persons.</w:t>
      </w:r>
    </w:p>
    <w:p>
      <w:pPr>
        <w:spacing w:line="360" w:lineRule="auto"/>
        <w:ind w:firstLine="480"/>
      </w:pPr>
      <w:r>
        <w:rPr>
          <w:rFonts w:ascii="Times New Roman" w:hAnsi="Times New Roman" w:eastAsia="宋体"/>
          <w:b w:val="0"/>
          <w:sz w:val="24"/>
        </w:rPr>
        <w:t>A4.2.2.2</w:t>
      </w:r>
    </w:p>
    <w:p>
      <w:pPr>
        <w:spacing w:line="360" w:lineRule="auto"/>
        <w:ind w:firstLine="480"/>
      </w:pPr>
      <w:r>
        <w:rPr>
          <w:rFonts w:ascii="Times New Roman" w:hAnsi="Times New Roman" w:eastAsia="宋体"/>
          <w:b w:val="0"/>
          <w:sz w:val="24"/>
        </w:rPr>
        <w:t>When writing the SDS, information should be presented in a consistent and complete form, with the</w:t>
      </w:r>
    </w:p>
    <w:p>
      <w:pPr>
        <w:spacing w:line="360" w:lineRule="auto"/>
        <w:ind w:firstLine="480"/>
      </w:pPr>
      <w:r>
        <w:rPr>
          <w:rFonts w:ascii="Times New Roman" w:hAnsi="Times New Roman" w:eastAsia="宋体"/>
          <w:b w:val="0"/>
          <w:sz w:val="24"/>
        </w:rPr>
        <w:t>workplace audience firmly in mind. However, it should be considered that all or part of the SDS can be used to inform</w:t>
      </w:r>
    </w:p>
    <w:p>
      <w:pPr>
        <w:spacing w:line="360" w:lineRule="auto"/>
        <w:ind w:firstLine="480"/>
      </w:pPr>
      <w:r>
        <w:rPr>
          <w:rFonts w:ascii="Times New Roman" w:hAnsi="Times New Roman" w:eastAsia="宋体"/>
          <w:b w:val="0"/>
          <w:sz w:val="24"/>
        </w:rPr>
        <w:t>workers, employers, health and safety professionals, emergency personnel, relevant government agencies, as well as</w:t>
      </w:r>
    </w:p>
    <w:p>
      <w:pPr>
        <w:spacing w:line="360" w:lineRule="auto"/>
        <w:ind w:firstLine="480"/>
      </w:pPr>
      <w:r>
        <w:rPr>
          <w:rFonts w:ascii="Times New Roman" w:hAnsi="Times New Roman" w:eastAsia="宋体"/>
          <w:b w:val="0"/>
          <w:sz w:val="24"/>
        </w:rPr>
        <w:t>members of the community.</w:t>
      </w:r>
    </w:p>
    <w:p>
      <w:pPr>
        <w:spacing w:line="360" w:lineRule="auto"/>
        <w:ind w:firstLine="480"/>
      </w:pPr>
      <w:r>
        <w:rPr>
          <w:rFonts w:ascii="Times New Roman" w:hAnsi="Times New Roman" w:eastAsia="宋体"/>
          <w:b w:val="0"/>
          <w:sz w:val="24"/>
        </w:rPr>
        <w:t>A4.2.2.3</w:t>
      </w:r>
    </w:p>
    <w:p>
      <w:pPr>
        <w:spacing w:line="360" w:lineRule="auto"/>
        <w:ind w:firstLine="480"/>
      </w:pPr>
      <w:r>
        <w:rPr>
          <w:rFonts w:ascii="Times New Roman" w:hAnsi="Times New Roman" w:eastAsia="宋体"/>
          <w:b w:val="0"/>
          <w:sz w:val="24"/>
        </w:rPr>
        <w:t>Language used in the SDS should be simple, clear and precise, avoiding jargon, acronyms and</w:t>
      </w:r>
    </w:p>
    <w:p>
      <w:pPr>
        <w:spacing w:line="360" w:lineRule="auto"/>
        <w:ind w:firstLine="480"/>
      </w:pPr>
      <w:r>
        <w:rPr>
          <w:rFonts w:ascii="Times New Roman" w:hAnsi="Times New Roman" w:eastAsia="宋体"/>
          <w:b w:val="0"/>
          <w:sz w:val="24"/>
        </w:rPr>
        <w:t>abbreviations. Vague and misleading expressions should not be used. Phrases such as “may be dangerous”, “no health</w:t>
      </w:r>
    </w:p>
    <w:p>
      <w:pPr>
        <w:spacing w:line="360" w:lineRule="auto"/>
        <w:ind w:firstLine="480"/>
      </w:pPr>
      <w:r>
        <w:rPr>
          <w:rFonts w:ascii="Times New Roman" w:hAnsi="Times New Roman" w:eastAsia="宋体"/>
          <w:b w:val="0"/>
          <w:sz w:val="24"/>
        </w:rPr>
        <w:t>effects”, “safe under most conditions of use”, or “harmless” are also not recommended. It may be that information on</w:t>
      </w:r>
    </w:p>
    <w:p>
      <w:pPr>
        <w:spacing w:line="360" w:lineRule="auto"/>
        <w:ind w:firstLine="480"/>
      </w:pPr>
      <w:r>
        <w:rPr>
          <w:rFonts w:ascii="Times New Roman" w:hAnsi="Times New Roman" w:eastAsia="宋体"/>
          <w:b w:val="0"/>
          <w:sz w:val="24"/>
        </w:rPr>
        <w:t>certain properties is of no significance or that it is technically impossible to provide; if so, the reasons for this must be</w:t>
      </w:r>
    </w:p>
    <w:p>
      <w:pPr>
        <w:spacing w:line="360" w:lineRule="auto"/>
        <w:ind w:firstLine="480"/>
      </w:pPr>
      <w:r>
        <w:rPr>
          <w:rFonts w:ascii="Times New Roman" w:hAnsi="Times New Roman" w:eastAsia="宋体"/>
          <w:b w:val="0"/>
          <w:sz w:val="24"/>
        </w:rPr>
        <w:t>clearly stated under each heading. If it is stated that a particular hazard does not exist, the safety data sheet should clearly</w:t>
      </w:r>
    </w:p>
    <w:p>
      <w:pPr>
        <w:spacing w:line="360" w:lineRule="auto"/>
        <w:ind w:firstLine="480"/>
      </w:pPr>
      <w:r>
        <w:rPr>
          <w:rFonts w:ascii="Times New Roman" w:hAnsi="Times New Roman" w:eastAsia="宋体"/>
          <w:b w:val="0"/>
          <w:sz w:val="24"/>
        </w:rPr>
        <w:t>differentiate between cases where no information is available to the classifier, and cases where negative test results are</w:t>
      </w:r>
    </w:p>
    <w:p>
      <w:pPr>
        <w:spacing w:line="360" w:lineRule="auto"/>
        <w:ind w:firstLine="480"/>
      </w:pPr>
      <w:r>
        <w:rPr>
          <w:rFonts w:ascii="Times New Roman" w:hAnsi="Times New Roman" w:eastAsia="宋体"/>
          <w:b w:val="0"/>
          <w:sz w:val="24"/>
        </w:rPr>
        <w:t>available.</w:t>
      </w:r>
    </w:p>
    <w:p>
      <w:pPr>
        <w:spacing w:line="360" w:lineRule="auto"/>
        <w:ind w:firstLine="480"/>
      </w:pPr>
      <w:r>
        <w:rPr>
          <w:rFonts w:ascii="Times New Roman" w:hAnsi="Times New Roman" w:eastAsia="宋体"/>
          <w:b w:val="0"/>
          <w:sz w:val="24"/>
        </w:rPr>
        <w:t>- 410 -</w:t>
      </w:r>
    </w:p>
    <w:p>
      <w:pPr>
        <w:spacing w:line="360" w:lineRule="auto"/>
        <w:ind w:firstLine="480"/>
      </w:pPr>
      <w:r>
        <w:rPr>
          <w:rFonts w:ascii="Times New Roman" w:hAnsi="Times New Roman" w:eastAsia="宋体"/>
          <w:b w:val="0"/>
          <w:sz w:val="24"/>
        </w:rPr>
        <w:t>A4.2.2.4</w:t>
      </w:r>
    </w:p>
    <w:p>
      <w:pPr>
        <w:spacing w:line="360" w:lineRule="auto"/>
        <w:ind w:firstLine="480"/>
      </w:pPr>
      <w:r>
        <w:rPr>
          <w:rFonts w:ascii="Times New Roman" w:hAnsi="Times New Roman" w:eastAsia="宋体"/>
          <w:b w:val="0"/>
          <w:sz w:val="24"/>
        </w:rPr>
        <w:t>The date of issue of the SDS should be stated and be very apparent. The date of issue is the date the</w:t>
      </w:r>
    </w:p>
    <w:p>
      <w:pPr>
        <w:spacing w:line="360" w:lineRule="auto"/>
        <w:ind w:firstLine="480"/>
      </w:pPr>
      <w:r>
        <w:rPr>
          <w:rFonts w:ascii="Times New Roman" w:hAnsi="Times New Roman" w:eastAsia="宋体"/>
          <w:b w:val="0"/>
          <w:sz w:val="24"/>
        </w:rPr>
        <w:t>SDS version was made public. This generally occurs shortly after the SDS authoring and publishing process is completed.</w:t>
      </w:r>
    </w:p>
    <w:p>
      <w:pPr>
        <w:spacing w:line="360" w:lineRule="auto"/>
        <w:ind w:firstLine="480"/>
      </w:pPr>
      <w:r>
        <w:rPr>
          <w:rFonts w:ascii="Times New Roman" w:hAnsi="Times New Roman" w:eastAsia="宋体"/>
          <w:b w:val="0"/>
          <w:sz w:val="24"/>
        </w:rPr>
        <w:t>Revised SDS’s should clearly state the date of issue as well as a version number, revision number, supersedes date or</w:t>
      </w:r>
    </w:p>
    <w:p>
      <w:pPr>
        <w:spacing w:line="360" w:lineRule="auto"/>
        <w:ind w:firstLine="480"/>
      </w:pPr>
      <w:r>
        <w:rPr>
          <w:rFonts w:ascii="Times New Roman" w:hAnsi="Times New Roman" w:eastAsia="宋体"/>
          <w:b w:val="0"/>
          <w:sz w:val="24"/>
        </w:rPr>
        <w:t>some other indication of what version is replaced.</w:t>
      </w:r>
    </w:p>
    <w:p>
      <w:pPr>
        <w:spacing w:line="360" w:lineRule="auto"/>
        <w:ind w:firstLine="480"/>
      </w:pPr>
      <w:r>
        <w:rPr>
          <w:rFonts w:ascii="Times New Roman" w:hAnsi="Times New Roman" w:eastAsia="宋体"/>
          <w:b w:val="0"/>
          <w:sz w:val="24"/>
        </w:rPr>
        <w:t>A4.2.3</w:t>
      </w:r>
    </w:p>
    <w:p>
      <w:pPr>
        <w:spacing w:line="360" w:lineRule="auto"/>
        <w:ind w:firstLine="480"/>
      </w:pPr>
      <w:r>
        <w:rPr>
          <w:rFonts w:ascii="Times New Roman" w:hAnsi="Times New Roman" w:eastAsia="宋体"/>
          <w:b w:val="0"/>
          <w:sz w:val="24"/>
        </w:rPr>
        <w:t>SDS format</w:t>
      </w:r>
    </w:p>
    <w:p>
      <w:pPr>
        <w:spacing w:line="360" w:lineRule="auto"/>
        <w:ind w:firstLine="480"/>
      </w:pPr>
      <w:r>
        <w:rPr>
          <w:rFonts w:ascii="Times New Roman" w:hAnsi="Times New Roman" w:eastAsia="宋体"/>
          <w:b w:val="0"/>
          <w:sz w:val="24"/>
        </w:rPr>
        <w:t>A4.2.3.1</w:t>
      </w:r>
    </w:p>
    <w:p>
      <w:pPr>
        <w:spacing w:line="360" w:lineRule="auto"/>
        <w:ind w:firstLine="480"/>
      </w:pPr>
      <w:r>
        <w:rPr>
          <w:rFonts w:ascii="Times New Roman" w:hAnsi="Times New Roman" w:eastAsia="宋体"/>
          <w:b w:val="0"/>
          <w:sz w:val="24"/>
        </w:rPr>
        <w:t>The information in the SDS should be presented using the following 16 headings in the order given</w:t>
      </w:r>
    </w:p>
    <w:p>
      <w:pPr>
        <w:spacing w:line="360" w:lineRule="auto"/>
        <w:ind w:firstLine="480"/>
      </w:pPr>
      <w:r>
        <w:rPr>
          <w:rFonts w:ascii="Times New Roman" w:hAnsi="Times New Roman" w:eastAsia="宋体"/>
          <w:b w:val="0"/>
          <w:sz w:val="24"/>
        </w:rPr>
        <w:t>below (see also 1.5.3.2.1):</w:t>
      </w:r>
    </w:p>
    <w:p>
      <w:pPr>
        <w:spacing w:line="360" w:lineRule="auto"/>
        <w:ind w:firstLine="480"/>
      </w:pPr>
      <w:r>
        <w:rPr>
          <w:rFonts w:ascii="Times New Roman" w:hAnsi="Times New Roman" w:eastAsia="宋体"/>
          <w:b w:val="0"/>
          <w:sz w:val="24"/>
        </w:rPr>
        <w:t>1.</w:t>
      </w:r>
    </w:p>
    <w:p>
      <w:pPr>
        <w:spacing w:line="360" w:lineRule="auto"/>
        <w:ind w:firstLine="480"/>
      </w:pPr>
      <w:r>
        <w:rPr>
          <w:rFonts w:ascii="Times New Roman" w:hAnsi="Times New Roman" w:eastAsia="宋体"/>
          <w:b w:val="0"/>
          <w:sz w:val="24"/>
        </w:rPr>
        <w:t>Identification;</w:t>
      </w:r>
    </w:p>
    <w:p>
      <w:pPr>
        <w:spacing w:line="360" w:lineRule="auto"/>
        <w:ind w:firstLine="480"/>
      </w:pPr>
      <w:r>
        <w:rPr>
          <w:rFonts w:ascii="Times New Roman" w:hAnsi="Times New Roman" w:eastAsia="宋体"/>
          <w:b w:val="0"/>
          <w:sz w:val="24"/>
        </w:rPr>
        <w:t>2.</w:t>
      </w:r>
    </w:p>
    <w:p>
      <w:pPr>
        <w:spacing w:line="360" w:lineRule="auto"/>
        <w:ind w:firstLine="480"/>
      </w:pPr>
      <w:r>
        <w:rPr>
          <w:rFonts w:ascii="Times New Roman" w:hAnsi="Times New Roman" w:eastAsia="宋体"/>
          <w:b w:val="0"/>
          <w:sz w:val="24"/>
        </w:rPr>
        <w:t>Hazard identification;</w:t>
      </w:r>
    </w:p>
    <w:p>
      <w:pPr>
        <w:spacing w:line="360" w:lineRule="auto"/>
        <w:ind w:firstLine="480"/>
      </w:pPr>
      <w:r>
        <w:rPr>
          <w:rFonts w:ascii="Times New Roman" w:hAnsi="Times New Roman" w:eastAsia="宋体"/>
          <w:b w:val="0"/>
          <w:sz w:val="24"/>
        </w:rPr>
        <w:t>3.</w:t>
      </w:r>
    </w:p>
    <w:p>
      <w:pPr>
        <w:spacing w:line="360" w:lineRule="auto"/>
        <w:ind w:firstLine="480"/>
      </w:pPr>
      <w:r>
        <w:rPr>
          <w:rFonts w:ascii="Times New Roman" w:hAnsi="Times New Roman" w:eastAsia="宋体"/>
          <w:b w:val="0"/>
          <w:sz w:val="24"/>
        </w:rPr>
        <w:t>Composition/information on ingredients;</w:t>
      </w:r>
    </w:p>
    <w:p>
      <w:pPr>
        <w:spacing w:line="360" w:lineRule="auto"/>
        <w:ind w:firstLine="480"/>
      </w:pPr>
      <w:r>
        <w:rPr>
          <w:rFonts w:ascii="Times New Roman" w:hAnsi="Times New Roman" w:eastAsia="宋体"/>
          <w:b w:val="0"/>
          <w:sz w:val="24"/>
        </w:rPr>
        <w:t>4.</w:t>
      </w:r>
    </w:p>
    <w:p>
      <w:pPr>
        <w:spacing w:line="360" w:lineRule="auto"/>
        <w:ind w:firstLine="480"/>
      </w:pPr>
      <w:r>
        <w:rPr>
          <w:rFonts w:ascii="Times New Roman" w:hAnsi="Times New Roman" w:eastAsia="宋体"/>
          <w:b w:val="0"/>
          <w:sz w:val="24"/>
        </w:rPr>
        <w:t>First-aid measures;</w:t>
      </w:r>
    </w:p>
    <w:p>
      <w:pPr>
        <w:spacing w:line="360" w:lineRule="auto"/>
        <w:ind w:firstLine="480"/>
      </w:pPr>
      <w:r>
        <w:rPr>
          <w:rFonts w:ascii="Times New Roman" w:hAnsi="Times New Roman" w:eastAsia="宋体"/>
          <w:b w:val="0"/>
          <w:sz w:val="24"/>
        </w:rPr>
        <w:t>5.</w:t>
      </w:r>
    </w:p>
    <w:p>
      <w:pPr>
        <w:spacing w:line="360" w:lineRule="auto"/>
        <w:ind w:firstLine="480"/>
      </w:pPr>
      <w:r>
        <w:rPr>
          <w:rFonts w:ascii="Times New Roman" w:hAnsi="Times New Roman" w:eastAsia="宋体"/>
          <w:b w:val="0"/>
          <w:sz w:val="24"/>
        </w:rPr>
        <w:t>Fire-fighting measures;</w:t>
      </w:r>
    </w:p>
    <w:p>
      <w:pPr>
        <w:spacing w:line="360" w:lineRule="auto"/>
        <w:ind w:firstLine="480"/>
      </w:pPr>
      <w:r>
        <w:rPr>
          <w:rFonts w:ascii="Times New Roman" w:hAnsi="Times New Roman" w:eastAsia="宋体"/>
          <w:b w:val="0"/>
          <w:sz w:val="24"/>
        </w:rPr>
        <w:t>6.</w:t>
      </w:r>
    </w:p>
    <w:p>
      <w:pPr>
        <w:spacing w:line="360" w:lineRule="auto"/>
        <w:ind w:firstLine="480"/>
      </w:pPr>
      <w:r>
        <w:rPr>
          <w:rFonts w:ascii="Times New Roman" w:hAnsi="Times New Roman" w:eastAsia="宋体"/>
          <w:b w:val="0"/>
          <w:sz w:val="24"/>
        </w:rPr>
        <w:t>Accidental release measures;</w:t>
      </w:r>
    </w:p>
    <w:p>
      <w:pPr>
        <w:spacing w:line="360" w:lineRule="auto"/>
        <w:ind w:firstLine="480"/>
      </w:pPr>
      <w:r>
        <w:rPr>
          <w:rFonts w:ascii="Times New Roman" w:hAnsi="Times New Roman" w:eastAsia="宋体"/>
          <w:b w:val="0"/>
          <w:sz w:val="24"/>
        </w:rPr>
        <w:t>7.</w:t>
      </w:r>
    </w:p>
    <w:p>
      <w:pPr>
        <w:spacing w:line="360" w:lineRule="auto"/>
        <w:ind w:firstLine="480"/>
      </w:pPr>
      <w:r>
        <w:rPr>
          <w:rFonts w:ascii="Times New Roman" w:hAnsi="Times New Roman" w:eastAsia="宋体"/>
          <w:b w:val="0"/>
          <w:sz w:val="24"/>
        </w:rPr>
        <w:t>Handling and storage;</w:t>
      </w:r>
    </w:p>
    <w:p>
      <w:pPr>
        <w:spacing w:line="360" w:lineRule="auto"/>
        <w:ind w:firstLine="480"/>
      </w:pPr>
      <w:r>
        <w:rPr>
          <w:rFonts w:ascii="Times New Roman" w:hAnsi="Times New Roman" w:eastAsia="宋体"/>
          <w:b w:val="0"/>
          <w:sz w:val="24"/>
        </w:rPr>
        <w:t>8.</w:t>
      </w:r>
    </w:p>
    <w:p>
      <w:pPr>
        <w:spacing w:line="360" w:lineRule="auto"/>
        <w:ind w:firstLine="480"/>
      </w:pPr>
      <w:r>
        <w:rPr>
          <w:rFonts w:ascii="Times New Roman" w:hAnsi="Times New Roman" w:eastAsia="宋体"/>
          <w:b w:val="0"/>
          <w:sz w:val="24"/>
        </w:rPr>
        <w:t>Exposure controls/personal protection;</w:t>
      </w:r>
    </w:p>
    <w:p>
      <w:pPr>
        <w:spacing w:line="360" w:lineRule="auto"/>
        <w:ind w:firstLine="480"/>
      </w:pPr>
      <w:r>
        <w:rPr>
          <w:rFonts w:ascii="Times New Roman" w:hAnsi="Times New Roman" w:eastAsia="宋体"/>
          <w:b w:val="0"/>
          <w:sz w:val="24"/>
        </w:rPr>
        <w:t>9.</w:t>
      </w:r>
    </w:p>
    <w:p>
      <w:pPr>
        <w:spacing w:line="360" w:lineRule="auto"/>
        <w:ind w:firstLine="480"/>
      </w:pPr>
      <w:r>
        <w:rPr>
          <w:rFonts w:ascii="Times New Roman" w:hAnsi="Times New Roman" w:eastAsia="宋体"/>
          <w:b w:val="0"/>
          <w:sz w:val="24"/>
        </w:rPr>
        <w:t>Physical and chemical properties;</w:t>
      </w:r>
    </w:p>
    <w:p>
      <w:pPr>
        <w:spacing w:line="360" w:lineRule="auto"/>
        <w:ind w:firstLine="480"/>
      </w:pPr>
      <w:r>
        <w:rPr>
          <w:rFonts w:ascii="Times New Roman" w:hAnsi="Times New Roman" w:eastAsia="宋体"/>
          <w:b w:val="0"/>
          <w:sz w:val="24"/>
        </w:rPr>
        <w:t>10.</w:t>
      </w:r>
    </w:p>
    <w:p>
      <w:pPr>
        <w:spacing w:line="360" w:lineRule="auto"/>
        <w:ind w:firstLine="480"/>
      </w:pPr>
      <w:r>
        <w:rPr>
          <w:rFonts w:ascii="Times New Roman" w:hAnsi="Times New Roman" w:eastAsia="宋体"/>
          <w:b w:val="0"/>
          <w:sz w:val="24"/>
        </w:rPr>
        <w:t>Stability and reactivity;</w:t>
      </w:r>
    </w:p>
    <w:p>
      <w:pPr>
        <w:spacing w:line="360" w:lineRule="auto"/>
        <w:ind w:firstLine="480"/>
      </w:pPr>
      <w:r>
        <w:rPr>
          <w:rFonts w:ascii="Times New Roman" w:hAnsi="Times New Roman" w:eastAsia="宋体"/>
          <w:b w:val="0"/>
          <w:sz w:val="24"/>
        </w:rPr>
        <w:t>11.</w:t>
      </w:r>
    </w:p>
    <w:p>
      <w:pPr>
        <w:spacing w:line="360" w:lineRule="auto"/>
        <w:ind w:firstLine="480"/>
      </w:pPr>
      <w:r>
        <w:rPr>
          <w:rFonts w:ascii="Times New Roman" w:hAnsi="Times New Roman" w:eastAsia="宋体"/>
          <w:b w:val="0"/>
          <w:sz w:val="24"/>
        </w:rPr>
        <w:t>Toxicological information;</w:t>
      </w:r>
    </w:p>
    <w:p>
      <w:pPr>
        <w:spacing w:line="360" w:lineRule="auto"/>
        <w:ind w:firstLine="480"/>
      </w:pPr>
      <w:r>
        <w:rPr>
          <w:rFonts w:ascii="Times New Roman" w:hAnsi="Times New Roman" w:eastAsia="宋体"/>
          <w:b w:val="0"/>
          <w:sz w:val="24"/>
        </w:rPr>
        <w:t>12.</w:t>
      </w:r>
    </w:p>
    <w:p>
      <w:pPr>
        <w:spacing w:line="360" w:lineRule="auto"/>
        <w:ind w:firstLine="480"/>
      </w:pPr>
      <w:r>
        <w:rPr>
          <w:rFonts w:ascii="Times New Roman" w:hAnsi="Times New Roman" w:eastAsia="宋体"/>
          <w:b w:val="0"/>
          <w:sz w:val="24"/>
        </w:rPr>
        <w:t>Ecological information;</w:t>
      </w:r>
    </w:p>
    <w:p>
      <w:pPr>
        <w:spacing w:line="360" w:lineRule="auto"/>
        <w:ind w:firstLine="480"/>
      </w:pPr>
      <w:r>
        <w:rPr>
          <w:rFonts w:ascii="Times New Roman" w:hAnsi="Times New Roman" w:eastAsia="宋体"/>
          <w:b w:val="0"/>
          <w:sz w:val="24"/>
        </w:rPr>
        <w:t>13.</w:t>
      </w:r>
    </w:p>
    <w:p>
      <w:pPr>
        <w:spacing w:line="360" w:lineRule="auto"/>
        <w:ind w:firstLine="480"/>
      </w:pPr>
      <w:r>
        <w:rPr>
          <w:rFonts w:ascii="Times New Roman" w:hAnsi="Times New Roman" w:eastAsia="宋体"/>
          <w:b w:val="0"/>
          <w:sz w:val="24"/>
        </w:rPr>
        <w:t>Disposal considerations;</w:t>
      </w:r>
    </w:p>
    <w:p>
      <w:pPr>
        <w:spacing w:line="360" w:lineRule="auto"/>
        <w:ind w:firstLine="480"/>
      </w:pPr>
      <w:r>
        <w:rPr>
          <w:rFonts w:ascii="Times New Roman" w:hAnsi="Times New Roman" w:eastAsia="宋体"/>
          <w:b w:val="0"/>
          <w:sz w:val="24"/>
        </w:rPr>
        <w:t>14.</w:t>
      </w:r>
    </w:p>
    <w:p>
      <w:pPr>
        <w:spacing w:line="360" w:lineRule="auto"/>
        <w:ind w:firstLine="480"/>
      </w:pPr>
      <w:r>
        <w:rPr>
          <w:rFonts w:ascii="Times New Roman" w:hAnsi="Times New Roman" w:eastAsia="宋体"/>
          <w:b w:val="0"/>
          <w:sz w:val="24"/>
        </w:rPr>
        <w:t>Transport information;</w:t>
      </w:r>
    </w:p>
    <w:p>
      <w:pPr>
        <w:spacing w:line="360" w:lineRule="auto"/>
        <w:ind w:firstLine="480"/>
      </w:pPr>
      <w:r>
        <w:rPr>
          <w:rFonts w:ascii="Times New Roman" w:hAnsi="Times New Roman" w:eastAsia="宋体"/>
          <w:b w:val="0"/>
          <w:sz w:val="24"/>
        </w:rPr>
        <w:t>15.</w:t>
      </w:r>
    </w:p>
    <w:p>
      <w:pPr>
        <w:spacing w:line="360" w:lineRule="auto"/>
        <w:ind w:firstLine="480"/>
      </w:pPr>
      <w:r>
        <w:rPr>
          <w:rFonts w:ascii="Times New Roman" w:hAnsi="Times New Roman" w:eastAsia="宋体"/>
          <w:b w:val="0"/>
          <w:sz w:val="24"/>
        </w:rPr>
        <w:t>Regulatory information;</w:t>
      </w:r>
    </w:p>
    <w:p>
      <w:pPr>
        <w:spacing w:line="360" w:lineRule="auto"/>
        <w:ind w:firstLine="480"/>
      </w:pPr>
      <w:r>
        <w:rPr>
          <w:rFonts w:ascii="Times New Roman" w:hAnsi="Times New Roman" w:eastAsia="宋体"/>
          <w:b w:val="0"/>
          <w:sz w:val="24"/>
        </w:rPr>
        <w:t>16.</w:t>
      </w:r>
    </w:p>
    <w:p>
      <w:pPr>
        <w:spacing w:line="360" w:lineRule="auto"/>
        <w:ind w:firstLine="480"/>
      </w:pPr>
      <w:r>
        <w:rPr>
          <w:rFonts w:ascii="Times New Roman" w:hAnsi="Times New Roman" w:eastAsia="宋体"/>
          <w:b w:val="0"/>
          <w:sz w:val="24"/>
        </w:rPr>
        <w:t>Other information</w:t>
      </w:r>
    </w:p>
    <w:p>
      <w:pPr>
        <w:spacing w:line="360" w:lineRule="auto"/>
        <w:ind w:firstLine="480"/>
      </w:pPr>
      <w:r>
        <w:rPr>
          <w:rFonts w:ascii="Times New Roman" w:hAnsi="Times New Roman" w:eastAsia="宋体"/>
          <w:b w:val="0"/>
          <w:sz w:val="24"/>
        </w:rPr>
        <w:t>A4.2.3.2</w:t>
      </w:r>
    </w:p>
    <w:p>
      <w:pPr>
        <w:spacing w:line="360" w:lineRule="auto"/>
        <w:ind w:firstLine="480"/>
      </w:pPr>
      <w:r>
        <w:rPr>
          <w:rFonts w:ascii="Times New Roman" w:hAnsi="Times New Roman" w:eastAsia="宋体"/>
          <w:b w:val="0"/>
          <w:sz w:val="24"/>
        </w:rPr>
        <w:t>An SDS is not a fixed length document. The length of the SDS should be commensurate with the hazard</w:t>
      </w:r>
    </w:p>
    <w:p>
      <w:pPr>
        <w:spacing w:line="360" w:lineRule="auto"/>
        <w:ind w:firstLine="480"/>
      </w:pPr>
      <w:r>
        <w:rPr>
          <w:rFonts w:ascii="Times New Roman" w:hAnsi="Times New Roman" w:eastAsia="宋体"/>
          <w:b w:val="0"/>
          <w:sz w:val="24"/>
        </w:rPr>
        <w:t>of the material and the information available.</w:t>
      </w:r>
    </w:p>
    <w:p>
      <w:pPr>
        <w:spacing w:line="360" w:lineRule="auto"/>
        <w:ind w:firstLine="480"/>
      </w:pPr>
      <w:r>
        <w:rPr>
          <w:rFonts w:ascii="Times New Roman" w:hAnsi="Times New Roman" w:eastAsia="宋体"/>
          <w:b w:val="0"/>
          <w:sz w:val="24"/>
        </w:rPr>
        <w:t>A4.2.3.3</w:t>
      </w:r>
    </w:p>
    <w:p>
      <w:pPr>
        <w:spacing w:line="360" w:lineRule="auto"/>
        <w:ind w:firstLine="480"/>
      </w:pPr>
      <w:r>
        <w:rPr>
          <w:rFonts w:ascii="Times New Roman" w:hAnsi="Times New Roman" w:eastAsia="宋体"/>
          <w:b w:val="0"/>
          <w:sz w:val="24"/>
        </w:rPr>
        <w:t>All pages of an SDS should be numbered and some indication of the end of the SDS should be given</w:t>
      </w:r>
    </w:p>
    <w:p>
      <w:pPr>
        <w:spacing w:line="360" w:lineRule="auto"/>
        <w:ind w:firstLine="480"/>
      </w:pPr>
      <w:r>
        <w:rPr>
          <w:rFonts w:ascii="Times New Roman" w:hAnsi="Times New Roman" w:eastAsia="宋体"/>
          <w:b w:val="0"/>
          <w:sz w:val="24"/>
        </w:rPr>
        <w:t>(for example: “page 1 of 3”). Alternatively, number each page and indicate whether there is a page following (e.g.</w:t>
      </w:r>
    </w:p>
    <w:p>
      <w:pPr>
        <w:spacing w:line="360" w:lineRule="auto"/>
        <w:ind w:firstLine="480"/>
      </w:pPr>
      <w:r>
        <w:rPr>
          <w:rFonts w:ascii="Times New Roman" w:hAnsi="Times New Roman" w:eastAsia="宋体"/>
          <w:b w:val="0"/>
          <w:sz w:val="24"/>
        </w:rPr>
        <w:t>“Continued on next page” or “End of SDS”).</w:t>
      </w:r>
    </w:p>
    <w:p>
      <w:pPr>
        <w:spacing w:line="360" w:lineRule="auto"/>
        <w:ind w:firstLine="480"/>
      </w:pPr>
      <w:r>
        <w:rPr>
          <w:rFonts w:ascii="Times New Roman" w:hAnsi="Times New Roman" w:eastAsia="宋体"/>
          <w:b w:val="0"/>
          <w:sz w:val="24"/>
        </w:rPr>
        <w:t>A4.2.4</w:t>
      </w:r>
    </w:p>
    <w:p>
      <w:pPr>
        <w:spacing w:line="360" w:lineRule="auto"/>
        <w:ind w:firstLine="480"/>
      </w:pPr>
      <w:r>
        <w:rPr>
          <w:rFonts w:ascii="Times New Roman" w:hAnsi="Times New Roman" w:eastAsia="宋体"/>
          <w:b w:val="0"/>
          <w:sz w:val="24"/>
        </w:rPr>
        <w:t>SDS content</w:t>
      </w:r>
    </w:p>
    <w:p>
      <w:pPr>
        <w:spacing w:line="360" w:lineRule="auto"/>
        <w:ind w:firstLine="480"/>
      </w:pPr>
      <w:r>
        <w:rPr>
          <w:rFonts w:ascii="Times New Roman" w:hAnsi="Times New Roman" w:eastAsia="宋体"/>
          <w:b w:val="0"/>
          <w:sz w:val="24"/>
        </w:rPr>
        <w:t>A4.2.4.1</w:t>
      </w:r>
    </w:p>
    <w:p>
      <w:pPr>
        <w:spacing w:line="360" w:lineRule="auto"/>
        <w:ind w:firstLine="480"/>
      </w:pPr>
      <w:r>
        <w:rPr>
          <w:rFonts w:ascii="Times New Roman" w:hAnsi="Times New Roman" w:eastAsia="宋体"/>
          <w:b w:val="0"/>
          <w:sz w:val="24"/>
        </w:rPr>
        <w:t>General information on SDS content can be found in 1.5.3.3. More practical information is given below.</w:t>
      </w:r>
    </w:p>
    <w:p>
      <w:pPr>
        <w:spacing w:line="360" w:lineRule="auto"/>
        <w:ind w:firstLine="480"/>
      </w:pPr>
      <w:r>
        <w:rPr>
          <w:rFonts w:ascii="Times New Roman" w:hAnsi="Times New Roman" w:eastAsia="宋体"/>
          <w:b w:val="0"/>
          <w:sz w:val="24"/>
        </w:rPr>
        <w:t>A4.2.4.2</w:t>
      </w:r>
    </w:p>
    <w:p>
      <w:pPr>
        <w:spacing w:line="360" w:lineRule="auto"/>
        <w:ind w:firstLine="480"/>
      </w:pPr>
      <w:r>
        <w:rPr>
          <w:rFonts w:ascii="Times New Roman" w:hAnsi="Times New Roman" w:eastAsia="宋体"/>
          <w:b w:val="0"/>
          <w:sz w:val="24"/>
        </w:rPr>
        <w:t>The minimum information outlined in section A4.3 of this annex should be included on the SDS, where</w:t>
      </w:r>
    </w:p>
    <w:p>
      <w:pPr>
        <w:spacing w:line="360" w:lineRule="auto"/>
        <w:ind w:firstLine="480"/>
      </w:pPr>
      <w:r>
        <w:rPr>
          <w:rFonts w:ascii="Times New Roman" w:hAnsi="Times New Roman" w:eastAsia="宋体"/>
          <w:b w:val="0"/>
          <w:sz w:val="24"/>
        </w:rPr>
        <w:t>applicable and available1, under the relevant headings. When information is not available or lacking this should be clearly</w:t>
      </w:r>
    </w:p>
    <w:p>
      <w:pPr>
        <w:spacing w:line="360" w:lineRule="auto"/>
        <w:ind w:firstLine="480"/>
      </w:pPr>
      <w:r>
        <w:rPr>
          <w:rFonts w:ascii="Times New Roman" w:hAnsi="Times New Roman" w:eastAsia="宋体"/>
          <w:b w:val="0"/>
          <w:sz w:val="24"/>
        </w:rPr>
        <w:t>stated. The SDS should not contain any blanks.</w:t>
      </w:r>
    </w:p>
    <w:p>
      <w:pPr>
        <w:spacing w:line="360" w:lineRule="auto"/>
        <w:ind w:firstLine="480"/>
      </w:pPr>
      <w:r>
        <w:rPr>
          <w:rFonts w:ascii="Times New Roman" w:hAnsi="Times New Roman" w:eastAsia="宋体"/>
          <w:b w:val="0"/>
          <w:sz w:val="24"/>
        </w:rPr>
        <w:t>A4.2.4.3</w:t>
      </w:r>
    </w:p>
    <w:p>
      <w:pPr>
        <w:spacing w:line="360" w:lineRule="auto"/>
        <w:ind w:firstLine="480"/>
      </w:pPr>
      <w:r>
        <w:rPr>
          <w:rFonts w:ascii="Times New Roman" w:hAnsi="Times New Roman" w:eastAsia="宋体"/>
          <w:b w:val="0"/>
          <w:sz w:val="24"/>
        </w:rPr>
        <w:t>In addition, the SDS should contain a brief summary/conclusion of the data given, making it easy even</w:t>
      </w:r>
    </w:p>
    <w:p>
      <w:pPr>
        <w:spacing w:line="360" w:lineRule="auto"/>
        <w:ind w:firstLine="480"/>
      </w:pPr>
      <w:r>
        <w:rPr>
          <w:rFonts w:ascii="Times New Roman" w:hAnsi="Times New Roman" w:eastAsia="宋体"/>
          <w:b w:val="0"/>
          <w:sz w:val="24"/>
        </w:rPr>
        <w:t>for non-experts in the field to identify all the hazards for the hazardous substance/mixture.</w:t>
      </w:r>
    </w:p>
    <w:p>
      <w:pPr>
        <w:spacing w:line="360" w:lineRule="auto"/>
        <w:ind w:firstLine="480"/>
      </w:pPr>
      <w:r>
        <w:rPr>
          <w:rFonts w:ascii="Times New Roman" w:hAnsi="Times New Roman" w:eastAsia="宋体"/>
          <w:b w:val="0"/>
          <w:sz w:val="24"/>
        </w:rPr>
        <w:t>A4.2.4.4</w:t>
      </w:r>
    </w:p>
    <w:p>
      <w:pPr>
        <w:spacing w:line="360" w:lineRule="auto"/>
        <w:ind w:firstLine="480"/>
      </w:pPr>
      <w:r>
        <w:rPr>
          <w:rFonts w:ascii="Times New Roman" w:hAnsi="Times New Roman" w:eastAsia="宋体"/>
          <w:b w:val="0"/>
          <w:sz w:val="24"/>
        </w:rPr>
        <w:t>Use of abbreviations is not recommended because they may lead to confusion or decreased</w:t>
      </w:r>
    </w:p>
    <w:p>
      <w:pPr>
        <w:spacing w:line="360" w:lineRule="auto"/>
        <w:ind w:firstLine="480"/>
      </w:pPr>
      <w:r>
        <w:rPr>
          <w:rFonts w:ascii="Times New Roman" w:hAnsi="Times New Roman" w:eastAsia="宋体"/>
          <w:b w:val="0"/>
          <w:sz w:val="24"/>
        </w:rPr>
        <w:t>understanding.</w:t>
      </w:r>
    </w:p>
    <w:p>
      <w:pPr>
        <w:spacing w:line="360" w:lineRule="auto"/>
        <w:ind w:firstLine="480"/>
      </w:pPr>
      <w:r>
        <w:rPr>
          <w:rFonts w:ascii="Times New Roman" w:hAnsi="Times New Roman" w:eastAsia="宋体"/>
          <w:b w:val="0"/>
          <w:sz w:val="24"/>
        </w:rPr>
        <w:t>A4.2.5</w:t>
      </w:r>
    </w:p>
    <w:p>
      <w:pPr>
        <w:spacing w:line="360" w:lineRule="auto"/>
        <w:ind w:firstLine="480"/>
      </w:pPr>
      <w:r>
        <w:rPr>
          <w:rFonts w:ascii="Times New Roman" w:hAnsi="Times New Roman" w:eastAsia="宋体"/>
          <w:b w:val="0"/>
          <w:sz w:val="24"/>
        </w:rPr>
        <w:t>Other information requirements</w:t>
      </w:r>
    </w:p>
    <w:p>
      <w:pPr>
        <w:spacing w:line="360" w:lineRule="auto"/>
        <w:ind w:firstLine="480"/>
      </w:pPr>
      <w:r>
        <w:rPr>
          <w:rFonts w:ascii="Times New Roman" w:hAnsi="Times New Roman" w:eastAsia="宋体"/>
          <w:b w:val="0"/>
          <w:sz w:val="24"/>
        </w:rPr>
        <w:t>A4.2.5.1</w:t>
      </w:r>
    </w:p>
    <w:p>
      <w:pPr>
        <w:spacing w:line="360" w:lineRule="auto"/>
        <w:ind w:firstLine="480"/>
      </w:pPr>
      <w:r>
        <w:rPr>
          <w:rFonts w:ascii="Times New Roman" w:hAnsi="Times New Roman" w:eastAsia="宋体"/>
          <w:b w:val="0"/>
          <w:sz w:val="24"/>
        </w:rPr>
        <w:t>There are information requirements for the preparation of an SDS. The minimum information</w:t>
      </w:r>
    </w:p>
    <w:p>
      <w:pPr>
        <w:spacing w:line="360" w:lineRule="auto"/>
        <w:ind w:firstLine="480"/>
      </w:pPr>
      <w:r>
        <w:rPr>
          <w:rFonts w:ascii="Times New Roman" w:hAnsi="Times New Roman" w:eastAsia="宋体"/>
          <w:b w:val="0"/>
          <w:sz w:val="24"/>
        </w:rPr>
        <w:t>requirements are outlined in A4.3.</w:t>
      </w:r>
    </w:p>
    <w:p>
      <w:pPr>
        <w:spacing w:line="360" w:lineRule="auto"/>
        <w:ind w:firstLine="480"/>
      </w:pPr>
      <w:r>
        <w:rPr>
          <w:rFonts w:ascii="Times New Roman" w:hAnsi="Times New Roman" w:eastAsia="宋体"/>
          <w:b w:val="0"/>
          <w:sz w:val="24"/>
        </w:rPr>
        <w:t>A4.2.5.2</w:t>
      </w:r>
    </w:p>
    <w:p>
      <w:pPr>
        <w:spacing w:line="360" w:lineRule="auto"/>
        <w:ind w:firstLine="480"/>
      </w:pPr>
      <w:r>
        <w:rPr>
          <w:rFonts w:ascii="Times New Roman" w:hAnsi="Times New Roman" w:eastAsia="宋体"/>
          <w:b w:val="0"/>
          <w:sz w:val="24"/>
        </w:rPr>
        <w:t>In addition to the minimum information requirements (see A4.2.4.2), the SDS may also contain</w:t>
      </w:r>
    </w:p>
    <w:p>
      <w:pPr>
        <w:spacing w:line="360" w:lineRule="auto"/>
        <w:ind w:firstLine="480"/>
      </w:pPr>
      <w:r>
        <w:rPr>
          <w:rFonts w:ascii="Times New Roman" w:hAnsi="Times New Roman" w:eastAsia="宋体"/>
          <w:b w:val="0"/>
          <w:sz w:val="24"/>
        </w:rPr>
        <w:t>“additional information”. Where a material has additional relevant and available information about its nature and/or use,</w:t>
      </w:r>
    </w:p>
    <w:p>
      <w:pPr>
        <w:spacing w:line="360" w:lineRule="auto"/>
        <w:ind w:firstLine="480"/>
      </w:pPr>
      <w:r>
        <w:rPr>
          <w:rFonts w:ascii="Times New Roman" w:hAnsi="Times New Roman" w:eastAsia="宋体"/>
          <w:b w:val="0"/>
          <w:sz w:val="24"/>
        </w:rPr>
        <w:t>that information should be included in the SDS (see A4.3.16 for further advice on additional information requirements).</w:t>
      </w:r>
    </w:p>
    <w:p>
      <w:pPr>
        <w:spacing w:line="360" w:lineRule="auto"/>
        <w:ind w:firstLine="480"/>
      </w:pPr>
      <w:r>
        <w:rPr>
          <w:rFonts w:ascii="Times New Roman" w:hAnsi="Times New Roman" w:eastAsia="宋体"/>
          <w:b w:val="0"/>
          <w:sz w:val="24"/>
        </w:rPr>
        <w:t>1 Where “applicable” means where the information is applicable to the specific product covered by the SDS. Where</w:t>
      </w:r>
    </w:p>
    <w:p>
      <w:pPr>
        <w:spacing w:line="360" w:lineRule="auto"/>
        <w:ind w:firstLine="480"/>
      </w:pPr>
      <w:r>
        <w:rPr>
          <w:rFonts w:ascii="Times New Roman" w:hAnsi="Times New Roman" w:eastAsia="宋体"/>
          <w:b w:val="0"/>
          <w:sz w:val="24"/>
        </w:rPr>
        <w:t>“available” means where the information is available to the supplier or other entity that is preparing the SDS.</w:t>
      </w:r>
    </w:p>
    <w:p>
      <w:pPr>
        <w:spacing w:line="360" w:lineRule="auto"/>
        <w:ind w:firstLine="480"/>
      </w:pPr>
      <w:r>
        <w:rPr>
          <w:rFonts w:ascii="Times New Roman" w:hAnsi="Times New Roman" w:eastAsia="宋体"/>
          <w:b w:val="0"/>
          <w:sz w:val="24"/>
        </w:rPr>
        <w:t>- 411 -</w:t>
      </w:r>
    </w:p>
    <w:p>
      <w:pPr>
        <w:spacing w:line="360" w:lineRule="auto"/>
        <w:ind w:firstLine="480"/>
      </w:pPr>
      <w:r>
        <w:rPr>
          <w:rFonts w:ascii="Times New Roman" w:hAnsi="Times New Roman" w:eastAsia="宋体"/>
          <w:b w:val="0"/>
          <w:sz w:val="24"/>
        </w:rPr>
        <w:t>A4.2.6</w:t>
      </w:r>
    </w:p>
    <w:p>
      <w:pPr>
        <w:spacing w:line="360" w:lineRule="auto"/>
        <w:ind w:firstLine="480"/>
      </w:pPr>
      <w:r>
        <w:rPr>
          <w:rFonts w:ascii="Times New Roman" w:hAnsi="Times New Roman" w:eastAsia="宋体"/>
          <w:b w:val="0"/>
          <w:sz w:val="24"/>
        </w:rPr>
        <w:t>Units</w:t>
      </w:r>
    </w:p>
    <w:p>
      <w:pPr>
        <w:spacing w:line="360" w:lineRule="auto"/>
        <w:ind w:firstLine="480"/>
      </w:pPr>
      <w:r>
        <w:rPr>
          <w:rFonts w:ascii="Times New Roman" w:hAnsi="Times New Roman" w:eastAsia="宋体"/>
          <w:b w:val="0"/>
          <w:sz w:val="24"/>
        </w:rPr>
        <w:t>Numbers and quantities should be expressed in units appropriate to the region into which the product is</w:t>
      </w:r>
    </w:p>
    <w:p>
      <w:pPr>
        <w:spacing w:line="360" w:lineRule="auto"/>
        <w:ind w:firstLine="480"/>
      </w:pPr>
      <w:r>
        <w:rPr>
          <w:rFonts w:ascii="Times New Roman" w:hAnsi="Times New Roman" w:eastAsia="宋体"/>
          <w:b w:val="0"/>
          <w:sz w:val="24"/>
        </w:rPr>
        <w:t>being supplied. In general, the International System of Units (SI) should be used.</w:t>
      </w:r>
    </w:p>
    <w:p>
      <w:pPr>
        <w:spacing w:line="360" w:lineRule="auto"/>
        <w:ind w:firstLine="480"/>
      </w:pPr>
      <w:r>
        <w:rPr>
          <w:rFonts w:ascii="Times New Roman" w:hAnsi="Times New Roman" w:eastAsia="宋体"/>
          <w:b w:val="0"/>
          <w:sz w:val="24"/>
        </w:rPr>
        <w:t>A4.3</w:t>
      </w:r>
    </w:p>
    <w:p>
      <w:pPr>
        <w:spacing w:line="360" w:lineRule="auto"/>
        <w:ind w:firstLine="480"/>
      </w:pPr>
      <w:r>
        <w:rPr>
          <w:rFonts w:ascii="Times New Roman" w:hAnsi="Times New Roman" w:eastAsia="宋体"/>
          <w:b w:val="0"/>
          <w:sz w:val="24"/>
        </w:rPr>
        <w:t>Information requirements for the preparation of the SDS</w:t>
      </w:r>
    </w:p>
    <w:p>
      <w:pPr>
        <w:spacing w:line="360" w:lineRule="auto"/>
        <w:ind w:firstLine="480"/>
      </w:pPr>
      <w:r>
        <w:rPr>
          <w:rFonts w:ascii="Times New Roman" w:hAnsi="Times New Roman" w:eastAsia="宋体"/>
          <w:b w:val="0"/>
          <w:sz w:val="24"/>
        </w:rPr>
        <w:t>This section describes the GHS information requirements for SDS’s. Additional information may be</w:t>
      </w:r>
    </w:p>
    <w:p>
      <w:pPr>
        <w:spacing w:line="360" w:lineRule="auto"/>
        <w:ind w:firstLine="480"/>
      </w:pPr>
      <w:r>
        <w:rPr>
          <w:rFonts w:ascii="Times New Roman" w:hAnsi="Times New Roman" w:eastAsia="宋体"/>
          <w:b w:val="0"/>
          <w:sz w:val="24"/>
        </w:rPr>
        <w:t>required by competent authorities.</w:t>
      </w:r>
    </w:p>
    <w:p>
      <w:pPr>
        <w:spacing w:line="360" w:lineRule="auto"/>
        <w:ind w:firstLine="480"/>
      </w:pPr>
      <w:r>
        <w:rPr>
          <w:rFonts w:ascii="Times New Roman" w:hAnsi="Times New Roman" w:eastAsia="宋体"/>
          <w:b w:val="0"/>
          <w:sz w:val="24"/>
        </w:rPr>
        <w:t>A4.3.1</w:t>
      </w:r>
    </w:p>
    <w:p>
      <w:pPr>
        <w:spacing w:line="360" w:lineRule="auto"/>
        <w:ind w:firstLine="480"/>
      </w:pPr>
      <w:r>
        <w:rPr>
          <w:rFonts w:ascii="Times New Roman" w:hAnsi="Times New Roman" w:eastAsia="宋体"/>
          <w:b w:val="0"/>
          <w:sz w:val="24"/>
        </w:rPr>
        <w:t>SECTION 1: Identification</w:t>
      </w:r>
    </w:p>
    <w:p>
      <w:pPr>
        <w:spacing w:line="360" w:lineRule="auto"/>
        <w:ind w:firstLine="480"/>
      </w:pPr>
      <w:r>
        <w:rPr>
          <w:rFonts w:ascii="Times New Roman" w:hAnsi="Times New Roman" w:eastAsia="宋体"/>
          <w:b w:val="0"/>
          <w:sz w:val="24"/>
        </w:rPr>
        <w:t>Identify the substance or mixture and provide the name of the supplier, recommended uses and the</w:t>
      </w:r>
    </w:p>
    <w:p>
      <w:pPr>
        <w:spacing w:line="360" w:lineRule="auto"/>
        <w:ind w:firstLine="480"/>
      </w:pPr>
      <w:r>
        <w:rPr>
          <w:rFonts w:ascii="Times New Roman" w:hAnsi="Times New Roman" w:eastAsia="宋体"/>
          <w:b w:val="0"/>
          <w:sz w:val="24"/>
        </w:rPr>
        <w:t>contact detail information of the supplier including an emergency contact in this section.</w:t>
      </w:r>
    </w:p>
    <w:p>
      <w:pPr>
        <w:spacing w:line="360" w:lineRule="auto"/>
        <w:ind w:firstLine="480"/>
      </w:pPr>
      <w:r>
        <w:rPr>
          <w:rFonts w:ascii="Times New Roman" w:hAnsi="Times New Roman" w:eastAsia="宋体"/>
          <w:b w:val="0"/>
          <w:sz w:val="24"/>
        </w:rPr>
        <w:t>A4.3.1.1</w:t>
      </w:r>
    </w:p>
    <w:p>
      <w:pPr>
        <w:spacing w:line="360" w:lineRule="auto"/>
        <w:ind w:firstLine="480"/>
      </w:pPr>
      <w:r>
        <w:rPr>
          <w:rFonts w:ascii="Times New Roman" w:hAnsi="Times New Roman" w:eastAsia="宋体"/>
          <w:b w:val="0"/>
          <w:sz w:val="24"/>
        </w:rPr>
        <w:t>GHS product identifier</w:t>
      </w:r>
    </w:p>
    <w:p>
      <w:pPr>
        <w:spacing w:line="360" w:lineRule="auto"/>
        <w:ind w:firstLine="480"/>
      </w:pPr>
      <w:r>
        <w:rPr>
          <w:rFonts w:ascii="Times New Roman" w:hAnsi="Times New Roman" w:eastAsia="宋体"/>
          <w:b w:val="0"/>
          <w:sz w:val="24"/>
        </w:rPr>
        <w:t>The identity of the substance or mixture (GHS product identifier) should be exactly as found on the</w:t>
      </w:r>
    </w:p>
    <w:p>
      <w:pPr>
        <w:spacing w:line="360" w:lineRule="auto"/>
        <w:ind w:firstLine="480"/>
      </w:pPr>
      <w:r>
        <w:rPr>
          <w:rFonts w:ascii="Times New Roman" w:hAnsi="Times New Roman" w:eastAsia="宋体"/>
          <w:b w:val="0"/>
          <w:sz w:val="24"/>
        </w:rPr>
        <w:t>label. If one generic SDS is used to cover several minor variants of a substance or mixture, all names and variants should</w:t>
      </w:r>
    </w:p>
    <w:p>
      <w:pPr>
        <w:spacing w:line="360" w:lineRule="auto"/>
        <w:ind w:firstLine="480"/>
      </w:pPr>
      <w:r>
        <w:rPr>
          <w:rFonts w:ascii="Times New Roman" w:hAnsi="Times New Roman" w:eastAsia="宋体"/>
          <w:b w:val="0"/>
          <w:sz w:val="24"/>
        </w:rPr>
        <w:t>be listed on the SDS or the SDS should clearly delineate the range of substances included.</w:t>
      </w:r>
    </w:p>
    <w:p>
      <w:pPr>
        <w:spacing w:line="360" w:lineRule="auto"/>
        <w:ind w:firstLine="480"/>
      </w:pPr>
      <w:r>
        <w:rPr>
          <w:rFonts w:ascii="Times New Roman" w:hAnsi="Times New Roman" w:eastAsia="宋体"/>
          <w:b w:val="0"/>
          <w:sz w:val="24"/>
        </w:rPr>
        <w:t>A4.3.1.2</w:t>
      </w:r>
    </w:p>
    <w:p>
      <w:pPr>
        <w:spacing w:line="360" w:lineRule="auto"/>
        <w:ind w:firstLine="480"/>
      </w:pPr>
      <w:r>
        <w:rPr>
          <w:rFonts w:ascii="Times New Roman" w:hAnsi="Times New Roman" w:eastAsia="宋体"/>
          <w:b w:val="0"/>
          <w:sz w:val="24"/>
        </w:rPr>
        <w:t>Other means of identification</w:t>
      </w:r>
    </w:p>
    <w:p>
      <w:pPr>
        <w:spacing w:line="360" w:lineRule="auto"/>
        <w:ind w:firstLine="480"/>
      </w:pPr>
      <w:r>
        <w:rPr>
          <w:rFonts w:ascii="Times New Roman" w:hAnsi="Times New Roman" w:eastAsia="宋体"/>
          <w:b w:val="0"/>
          <w:sz w:val="24"/>
        </w:rPr>
        <w:t>In addition, or as an alternative, to the GHS product identifier, the substance or mixture may be</w:t>
      </w:r>
    </w:p>
    <w:p>
      <w:pPr>
        <w:spacing w:line="360" w:lineRule="auto"/>
        <w:ind w:firstLine="480"/>
      </w:pPr>
      <w:r>
        <w:rPr>
          <w:rFonts w:ascii="Times New Roman" w:hAnsi="Times New Roman" w:eastAsia="宋体"/>
          <w:b w:val="0"/>
          <w:sz w:val="24"/>
        </w:rPr>
        <w:t>identified by alternative names, numbers, company product codes, or other unique identifiers. Provide other names or</w:t>
      </w:r>
    </w:p>
    <w:p>
      <w:pPr>
        <w:spacing w:line="360" w:lineRule="auto"/>
        <w:ind w:firstLine="480"/>
      </w:pPr>
      <w:r>
        <w:rPr>
          <w:rFonts w:ascii="Times New Roman" w:hAnsi="Times New Roman" w:eastAsia="宋体"/>
          <w:b w:val="0"/>
          <w:sz w:val="24"/>
        </w:rPr>
        <w:t>synonyms by which the substance or mixture is labelled or commonly known, if applicable.</w:t>
      </w:r>
    </w:p>
    <w:p>
      <w:pPr>
        <w:spacing w:line="360" w:lineRule="auto"/>
        <w:ind w:firstLine="480"/>
      </w:pPr>
      <w:r>
        <w:rPr>
          <w:rFonts w:ascii="Times New Roman" w:hAnsi="Times New Roman" w:eastAsia="宋体"/>
          <w:b w:val="0"/>
          <w:sz w:val="24"/>
        </w:rPr>
        <w:t>A4.3.1.3</w:t>
      </w:r>
    </w:p>
    <w:p>
      <w:pPr>
        <w:spacing w:line="360" w:lineRule="auto"/>
        <w:ind w:firstLine="480"/>
      </w:pPr>
      <w:r>
        <w:rPr>
          <w:rFonts w:ascii="Times New Roman" w:hAnsi="Times New Roman" w:eastAsia="宋体"/>
          <w:b w:val="0"/>
          <w:sz w:val="24"/>
        </w:rPr>
        <w:t>Recommended use of the chemical and restrictions on use</w:t>
      </w:r>
    </w:p>
    <w:p>
      <w:pPr>
        <w:spacing w:line="360" w:lineRule="auto"/>
        <w:ind w:firstLine="480"/>
      </w:pPr>
      <w:r>
        <w:rPr>
          <w:rFonts w:ascii="Times New Roman" w:hAnsi="Times New Roman" w:eastAsia="宋体"/>
          <w:b w:val="0"/>
          <w:sz w:val="24"/>
        </w:rPr>
        <w:t>Provide the recommended or intended use of the substance or mixture, including a brief description of</w:t>
      </w:r>
    </w:p>
    <w:p>
      <w:pPr>
        <w:spacing w:line="360" w:lineRule="auto"/>
        <w:ind w:firstLine="480"/>
      </w:pPr>
      <w:r>
        <w:rPr>
          <w:rFonts w:ascii="Times New Roman" w:hAnsi="Times New Roman" w:eastAsia="宋体"/>
          <w:b w:val="0"/>
          <w:sz w:val="24"/>
        </w:rPr>
        <w:t>what it actually does, e.g. flame retardant, anti-oxidant, etc. Restrictions on use should, as far as possible, be stated</w:t>
      </w:r>
    </w:p>
    <w:p>
      <w:pPr>
        <w:spacing w:line="360" w:lineRule="auto"/>
        <w:ind w:firstLine="480"/>
      </w:pPr>
      <w:r>
        <w:rPr>
          <w:rFonts w:ascii="Times New Roman" w:hAnsi="Times New Roman" w:eastAsia="宋体"/>
          <w:b w:val="0"/>
          <w:sz w:val="24"/>
        </w:rPr>
        <w:t>including non-statutory recommendations by the supplier.</w:t>
      </w:r>
    </w:p>
    <w:p>
      <w:pPr>
        <w:spacing w:line="360" w:lineRule="auto"/>
        <w:ind w:firstLine="480"/>
      </w:pPr>
      <w:r>
        <w:rPr>
          <w:rFonts w:ascii="Times New Roman" w:hAnsi="Times New Roman" w:eastAsia="宋体"/>
          <w:b w:val="0"/>
          <w:sz w:val="24"/>
        </w:rPr>
        <w:t>A4.3.1.4</w:t>
      </w:r>
    </w:p>
    <w:p>
      <w:pPr>
        <w:spacing w:line="360" w:lineRule="auto"/>
        <w:ind w:firstLine="480"/>
      </w:pPr>
      <w:r>
        <w:rPr>
          <w:rFonts w:ascii="Times New Roman" w:hAnsi="Times New Roman" w:eastAsia="宋体"/>
          <w:b w:val="0"/>
          <w:sz w:val="24"/>
        </w:rPr>
        <w:t>Supplier’s details</w:t>
      </w:r>
    </w:p>
    <w:p>
      <w:pPr>
        <w:spacing w:line="360" w:lineRule="auto"/>
        <w:ind w:firstLine="480"/>
      </w:pPr>
      <w:r>
        <w:rPr>
          <w:rFonts w:ascii="Times New Roman" w:hAnsi="Times New Roman" w:eastAsia="宋体"/>
          <w:b w:val="0"/>
          <w:sz w:val="24"/>
        </w:rPr>
        <w:t>The name, full address and phone number(s) of the supplier should be included on the SDS.</w:t>
      </w:r>
    </w:p>
    <w:p>
      <w:pPr>
        <w:spacing w:line="360" w:lineRule="auto"/>
        <w:ind w:firstLine="480"/>
      </w:pPr>
      <w:r>
        <w:rPr>
          <w:rFonts w:ascii="Times New Roman" w:hAnsi="Times New Roman" w:eastAsia="宋体"/>
          <w:b w:val="0"/>
          <w:sz w:val="24"/>
        </w:rPr>
        <w:t>A4.3.1.5</w:t>
      </w:r>
    </w:p>
    <w:p>
      <w:pPr>
        <w:spacing w:line="360" w:lineRule="auto"/>
        <w:ind w:firstLine="480"/>
      </w:pPr>
      <w:r>
        <w:rPr>
          <w:rFonts w:ascii="Times New Roman" w:hAnsi="Times New Roman" w:eastAsia="宋体"/>
          <w:b w:val="0"/>
          <w:sz w:val="24"/>
        </w:rPr>
        <w:t>Emergency phone number</w:t>
      </w:r>
    </w:p>
    <w:p>
      <w:pPr>
        <w:spacing w:line="360" w:lineRule="auto"/>
        <w:ind w:firstLine="480"/>
      </w:pPr>
      <w:r>
        <w:rPr>
          <w:rFonts w:ascii="Times New Roman" w:hAnsi="Times New Roman" w:eastAsia="宋体"/>
          <w:b w:val="0"/>
          <w:sz w:val="24"/>
        </w:rPr>
        <w:t>References to emergency information services should be included in all SDS. If any restrictions apply,</w:t>
      </w:r>
    </w:p>
    <w:p>
      <w:pPr>
        <w:spacing w:line="360" w:lineRule="auto"/>
        <w:ind w:firstLine="480"/>
      </w:pPr>
      <w:r>
        <w:rPr>
          <w:rFonts w:ascii="Times New Roman" w:hAnsi="Times New Roman" w:eastAsia="宋体"/>
          <w:b w:val="0"/>
          <w:sz w:val="24"/>
        </w:rPr>
        <w:t>such as hours of operation (e.g. Monday - Friday, 8:00 a.m. - 6:00 p.m., or 24 hours) or limits on specific types of</w:t>
      </w:r>
    </w:p>
    <w:p>
      <w:pPr>
        <w:spacing w:line="360" w:lineRule="auto"/>
        <w:ind w:firstLine="480"/>
      </w:pPr>
      <w:r>
        <w:rPr>
          <w:rFonts w:ascii="Times New Roman" w:hAnsi="Times New Roman" w:eastAsia="宋体"/>
          <w:b w:val="0"/>
          <w:sz w:val="24"/>
        </w:rPr>
        <w:t>information (e.g. medical emergencies, or transportation emergencies), this should be clearly stated.</w:t>
      </w:r>
    </w:p>
    <w:p>
      <w:pPr>
        <w:spacing w:line="360" w:lineRule="auto"/>
        <w:ind w:firstLine="480"/>
      </w:pPr>
      <w:r>
        <w:rPr>
          <w:rFonts w:ascii="Times New Roman" w:hAnsi="Times New Roman" w:eastAsia="宋体"/>
          <w:b w:val="0"/>
          <w:sz w:val="24"/>
        </w:rPr>
        <w:t>A4.3.2</w:t>
      </w:r>
    </w:p>
    <w:p>
      <w:pPr>
        <w:spacing w:line="360" w:lineRule="auto"/>
        <w:ind w:firstLine="480"/>
      </w:pPr>
      <w:r>
        <w:rPr>
          <w:rFonts w:ascii="Times New Roman" w:hAnsi="Times New Roman" w:eastAsia="宋体"/>
          <w:b w:val="0"/>
          <w:sz w:val="24"/>
        </w:rPr>
        <w:t>SECTION 2: Hazard identification</w:t>
      </w:r>
    </w:p>
    <w:p>
      <w:pPr>
        <w:spacing w:line="360" w:lineRule="auto"/>
        <w:ind w:firstLine="480"/>
      </w:pPr>
      <w:r>
        <w:rPr>
          <w:rFonts w:ascii="Times New Roman" w:hAnsi="Times New Roman" w:eastAsia="宋体"/>
          <w:b w:val="0"/>
          <w:sz w:val="24"/>
        </w:rPr>
        <w:t>This section describes the hazards of the substance or mixture and the appropriate warning information</w:t>
      </w:r>
    </w:p>
    <w:p>
      <w:pPr>
        <w:spacing w:line="360" w:lineRule="auto"/>
        <w:ind w:firstLine="480"/>
      </w:pPr>
      <w:r>
        <w:rPr>
          <w:rFonts w:ascii="Times New Roman" w:hAnsi="Times New Roman" w:eastAsia="宋体"/>
          <w:b w:val="0"/>
          <w:sz w:val="24"/>
        </w:rPr>
        <w:t>(signal word, hazard statement(s) and precautionary statement(s)) associated with those hazards. The section should</w:t>
      </w:r>
    </w:p>
    <w:p>
      <w:pPr>
        <w:spacing w:line="360" w:lineRule="auto"/>
        <w:ind w:firstLine="480"/>
      </w:pPr>
      <w:r>
        <w:rPr>
          <w:rFonts w:ascii="Times New Roman" w:hAnsi="Times New Roman" w:eastAsia="宋体"/>
          <w:b w:val="0"/>
          <w:sz w:val="24"/>
        </w:rPr>
        <w:t>include a brief summary/conclusion of the data given as described in A4.2.4.3.</w:t>
      </w:r>
    </w:p>
    <w:p>
      <w:pPr>
        <w:spacing w:line="360" w:lineRule="auto"/>
        <w:ind w:firstLine="480"/>
      </w:pPr>
      <w:r>
        <w:rPr>
          <w:rFonts w:ascii="Times New Roman" w:hAnsi="Times New Roman" w:eastAsia="宋体"/>
          <w:b w:val="0"/>
          <w:sz w:val="24"/>
        </w:rPr>
        <w:t>A4.3.2.1</w:t>
      </w:r>
    </w:p>
    <w:p>
      <w:pPr>
        <w:spacing w:line="360" w:lineRule="auto"/>
        <w:ind w:firstLine="480"/>
      </w:pPr>
      <w:r>
        <w:rPr>
          <w:rFonts w:ascii="Times New Roman" w:hAnsi="Times New Roman" w:eastAsia="宋体"/>
          <w:b w:val="0"/>
          <w:sz w:val="24"/>
        </w:rPr>
        <w:t>Classification of the substance or mixture</w:t>
      </w:r>
    </w:p>
    <w:p>
      <w:pPr>
        <w:spacing w:line="360" w:lineRule="auto"/>
        <w:ind w:firstLine="480"/>
      </w:pPr>
      <w:r>
        <w:rPr>
          <w:rFonts w:ascii="Times New Roman" w:hAnsi="Times New Roman" w:eastAsia="宋体"/>
          <w:b w:val="0"/>
          <w:sz w:val="24"/>
        </w:rPr>
        <w:t>A4.3.2.1.1</w:t>
      </w:r>
    </w:p>
    <w:p>
      <w:pPr>
        <w:spacing w:line="360" w:lineRule="auto"/>
        <w:ind w:firstLine="480"/>
      </w:pPr>
      <w:r>
        <w:rPr>
          <w:rFonts w:ascii="Times New Roman" w:hAnsi="Times New Roman" w:eastAsia="宋体"/>
          <w:b w:val="0"/>
          <w:sz w:val="24"/>
        </w:rPr>
        <w:t>This subsection indicates the hazard classification of the substance or mixture.</w:t>
      </w:r>
    </w:p>
    <w:p>
      <w:pPr>
        <w:spacing w:line="360" w:lineRule="auto"/>
        <w:ind w:firstLine="480"/>
      </w:pPr>
      <w:r>
        <w:rPr>
          <w:rFonts w:ascii="Times New Roman" w:hAnsi="Times New Roman" w:eastAsia="宋体"/>
          <w:b w:val="0"/>
          <w:sz w:val="24"/>
        </w:rPr>
        <w:t>A4.3.2.1.2</w:t>
      </w:r>
    </w:p>
    <w:p>
      <w:pPr>
        <w:spacing w:line="360" w:lineRule="auto"/>
        <w:ind w:firstLine="480"/>
      </w:pPr>
      <w:r>
        <w:rPr>
          <w:rFonts w:ascii="Times New Roman" w:hAnsi="Times New Roman" w:eastAsia="宋体"/>
          <w:b w:val="0"/>
          <w:sz w:val="24"/>
        </w:rPr>
        <w:t>If the substance or mixture is classified in accordance with Parts 2, 3 and/or 4 of the GHS, generally the</w:t>
      </w:r>
    </w:p>
    <w:p>
      <w:pPr>
        <w:spacing w:line="360" w:lineRule="auto"/>
        <w:ind w:firstLine="480"/>
      </w:pPr>
      <w:r>
        <w:rPr>
          <w:rFonts w:ascii="Times New Roman" w:hAnsi="Times New Roman" w:eastAsia="宋体"/>
          <w:b w:val="0"/>
          <w:sz w:val="24"/>
        </w:rPr>
        <w:t>classification is communicated by providing the appropriate hazard class and category/subcategory to indicate the hazard</w:t>
      </w:r>
    </w:p>
    <w:p>
      <w:pPr>
        <w:spacing w:line="360" w:lineRule="auto"/>
        <w:ind w:firstLine="480"/>
      </w:pPr>
      <w:r>
        <w:rPr>
          <w:rFonts w:ascii="Times New Roman" w:hAnsi="Times New Roman" w:eastAsia="宋体"/>
          <w:b w:val="0"/>
          <w:sz w:val="24"/>
        </w:rPr>
        <w:t>(for example, flammable liquid Category 1 and skin corrosive, Category 1A). However, when classification is</w:t>
      </w:r>
    </w:p>
    <w:p>
      <w:pPr>
        <w:spacing w:line="360" w:lineRule="auto"/>
        <w:ind w:firstLine="480"/>
      </w:pPr>
      <w:r>
        <w:rPr>
          <w:rFonts w:ascii="Times New Roman" w:hAnsi="Times New Roman" w:eastAsia="宋体"/>
          <w:b w:val="0"/>
          <w:sz w:val="24"/>
        </w:rPr>
        <w:t>differentiated within a hazard class and results in unique hazard statements, then the classification should also reflect that</w:t>
      </w:r>
    </w:p>
    <w:p>
      <w:pPr>
        <w:spacing w:line="360" w:lineRule="auto"/>
        <w:ind w:firstLine="480"/>
      </w:pPr>
      <w:r>
        <w:rPr>
          <w:rFonts w:ascii="Times New Roman" w:hAnsi="Times New Roman" w:eastAsia="宋体"/>
          <w:b w:val="0"/>
          <w:sz w:val="24"/>
        </w:rPr>
        <w:t>differentiation. For example, the route of exposure differentiates the acute toxicity classification as follows: acute oral</w:t>
      </w:r>
    </w:p>
    <w:p>
      <w:pPr>
        <w:spacing w:line="360" w:lineRule="auto"/>
        <w:ind w:firstLine="480"/>
      </w:pPr>
      <w:r>
        <w:rPr>
          <w:rFonts w:ascii="Times New Roman" w:hAnsi="Times New Roman" w:eastAsia="宋体"/>
          <w:b w:val="0"/>
          <w:sz w:val="24"/>
        </w:rPr>
        <w:t>toxicity Category 1, acute dermal toxicity Category 1 and acute inhalation toxicity Category 1. If a substance or mixture</w:t>
      </w:r>
    </w:p>
    <w:p>
      <w:pPr>
        <w:spacing w:line="360" w:lineRule="auto"/>
        <w:ind w:firstLine="480"/>
      </w:pPr>
      <w:r>
        <w:rPr>
          <w:rFonts w:ascii="Times New Roman" w:hAnsi="Times New Roman" w:eastAsia="宋体"/>
          <w:b w:val="0"/>
          <w:sz w:val="24"/>
        </w:rPr>
        <w:t>is classified into more than one category in a hazard class that is differentiated, then all classifications should be</w:t>
      </w:r>
    </w:p>
    <w:p>
      <w:pPr>
        <w:spacing w:line="360" w:lineRule="auto"/>
        <w:ind w:firstLine="480"/>
      </w:pPr>
      <w:r>
        <w:rPr>
          <w:rFonts w:ascii="Times New Roman" w:hAnsi="Times New Roman" w:eastAsia="宋体"/>
          <w:b w:val="0"/>
          <w:sz w:val="24"/>
        </w:rPr>
        <w:t>communicated.</w:t>
      </w:r>
    </w:p>
    <w:p>
      <w:pPr>
        <w:spacing w:line="360" w:lineRule="auto"/>
        <w:ind w:firstLine="480"/>
      </w:pPr>
      <w:r>
        <w:rPr>
          <w:rFonts w:ascii="Times New Roman" w:hAnsi="Times New Roman" w:eastAsia="宋体"/>
          <w:b w:val="0"/>
          <w:sz w:val="24"/>
        </w:rPr>
        <w:t>- 412 -</w:t>
      </w:r>
    </w:p>
    <w:p>
      <w:pPr>
        <w:spacing w:line="360" w:lineRule="auto"/>
        <w:ind w:firstLine="480"/>
      </w:pPr>
      <w:r>
        <w:rPr>
          <w:rFonts w:ascii="Times New Roman" w:hAnsi="Times New Roman" w:eastAsia="宋体"/>
          <w:b w:val="0"/>
          <w:sz w:val="24"/>
        </w:rPr>
        <w:t>A4.3.2.2</w:t>
      </w:r>
    </w:p>
    <w:p>
      <w:pPr>
        <w:spacing w:line="360" w:lineRule="auto"/>
        <w:ind w:firstLine="480"/>
      </w:pPr>
      <w:r>
        <w:rPr>
          <w:rFonts w:ascii="Times New Roman" w:hAnsi="Times New Roman" w:eastAsia="宋体"/>
          <w:b w:val="0"/>
          <w:sz w:val="24"/>
        </w:rPr>
        <w:t>GHS label elements, including precautionary statements</w:t>
      </w:r>
    </w:p>
    <w:p>
      <w:pPr>
        <w:spacing w:line="360" w:lineRule="auto"/>
        <w:ind w:firstLine="480"/>
      </w:pPr>
      <w:r>
        <w:rPr>
          <w:rFonts w:ascii="Times New Roman" w:hAnsi="Times New Roman" w:eastAsia="宋体"/>
          <w:b w:val="0"/>
          <w:sz w:val="24"/>
        </w:rPr>
        <w:t>A4.3.2.2.1</w:t>
      </w:r>
    </w:p>
    <w:p>
      <w:pPr>
        <w:spacing w:line="360" w:lineRule="auto"/>
        <w:ind w:firstLine="480"/>
      </w:pPr>
      <w:r>
        <w:rPr>
          <w:rFonts w:ascii="Times New Roman" w:hAnsi="Times New Roman" w:eastAsia="宋体"/>
          <w:b w:val="0"/>
          <w:sz w:val="24"/>
        </w:rPr>
        <w:t>Based on the classification, provide the appropriate label elements: signal word(s), hazard statement(s)</w:t>
      </w:r>
    </w:p>
    <w:p>
      <w:pPr>
        <w:spacing w:line="360" w:lineRule="auto"/>
        <w:ind w:firstLine="480"/>
      </w:pPr>
      <w:r>
        <w:rPr>
          <w:rFonts w:ascii="Times New Roman" w:hAnsi="Times New Roman" w:eastAsia="宋体"/>
          <w:b w:val="0"/>
          <w:sz w:val="24"/>
        </w:rPr>
        <w:t>and precautionary statement(s).</w:t>
      </w:r>
    </w:p>
    <w:p>
      <w:pPr>
        <w:spacing w:line="360" w:lineRule="auto"/>
        <w:ind w:firstLine="480"/>
      </w:pPr>
      <w:r>
        <w:rPr>
          <w:rFonts w:ascii="Times New Roman" w:hAnsi="Times New Roman" w:eastAsia="宋体"/>
          <w:b w:val="0"/>
          <w:sz w:val="24"/>
        </w:rPr>
        <w:t>A4.3.2.2.2</w:t>
      </w:r>
    </w:p>
    <w:p>
      <w:pPr>
        <w:spacing w:line="360" w:lineRule="auto"/>
        <w:ind w:firstLine="480"/>
      </w:pPr>
      <w:r>
        <w:rPr>
          <w:rFonts w:ascii="Times New Roman" w:hAnsi="Times New Roman" w:eastAsia="宋体"/>
          <w:b w:val="0"/>
          <w:sz w:val="24"/>
        </w:rPr>
        <w:t>Pictograms (or hazard symbols) may be provided as a graphical reproduction of the symbols in black</w:t>
      </w:r>
    </w:p>
    <w:p>
      <w:pPr>
        <w:spacing w:line="360" w:lineRule="auto"/>
        <w:ind w:firstLine="480"/>
      </w:pPr>
      <w:r>
        <w:rPr>
          <w:rFonts w:ascii="Times New Roman" w:hAnsi="Times New Roman" w:eastAsia="宋体"/>
          <w:b w:val="0"/>
          <w:sz w:val="24"/>
        </w:rPr>
        <w:t>and white or the name of the symbol, e.g. “flame”, “skull and crossbones”.</w:t>
      </w:r>
    </w:p>
    <w:p>
      <w:pPr>
        <w:spacing w:line="360" w:lineRule="auto"/>
        <w:ind w:firstLine="480"/>
      </w:pPr>
      <w:r>
        <w:rPr>
          <w:rFonts w:ascii="Times New Roman" w:hAnsi="Times New Roman" w:eastAsia="宋体"/>
          <w:b w:val="0"/>
          <w:sz w:val="24"/>
        </w:rPr>
        <w:t>A4.3.2.3</w:t>
      </w:r>
    </w:p>
    <w:p>
      <w:pPr>
        <w:spacing w:line="360" w:lineRule="auto"/>
        <w:ind w:firstLine="480"/>
      </w:pPr>
      <w:r>
        <w:rPr>
          <w:rFonts w:ascii="Times New Roman" w:hAnsi="Times New Roman" w:eastAsia="宋体"/>
          <w:b w:val="0"/>
          <w:sz w:val="24"/>
        </w:rPr>
        <w:t>Other hazards which do not result in classification</w:t>
      </w:r>
    </w:p>
    <w:p>
      <w:pPr>
        <w:spacing w:line="360" w:lineRule="auto"/>
        <w:ind w:firstLine="480"/>
      </w:pPr>
      <w:r>
        <w:rPr>
          <w:rFonts w:ascii="Times New Roman" w:hAnsi="Times New Roman" w:eastAsia="宋体"/>
          <w:b w:val="0"/>
          <w:sz w:val="24"/>
        </w:rPr>
        <w:t>Provide information on other hazards which do not result in classification but may contribute to the</w:t>
      </w:r>
    </w:p>
    <w:p>
      <w:pPr>
        <w:spacing w:line="360" w:lineRule="auto"/>
        <w:ind w:firstLine="480"/>
      </w:pPr>
      <w:r>
        <w:rPr>
          <w:rFonts w:ascii="Times New Roman" w:hAnsi="Times New Roman" w:eastAsia="宋体"/>
          <w:b w:val="0"/>
          <w:sz w:val="24"/>
        </w:rPr>
        <w:t>overall hazards of the material, for example, formation of air contaminants during hardening or processing, dust explosion</w:t>
      </w:r>
    </w:p>
    <w:p>
      <w:pPr>
        <w:spacing w:line="360" w:lineRule="auto"/>
        <w:ind w:firstLine="480"/>
      </w:pPr>
      <w:r>
        <w:rPr>
          <w:rFonts w:ascii="Times New Roman" w:hAnsi="Times New Roman" w:eastAsia="宋体"/>
          <w:b w:val="0"/>
          <w:sz w:val="24"/>
        </w:rPr>
        <w:t>hazards, suffocation, freezing or environmental effects such as hazards to soil-dwelling organisms. To communicate</w:t>
      </w:r>
    </w:p>
    <w:p>
      <w:pPr>
        <w:spacing w:line="360" w:lineRule="auto"/>
        <w:ind w:firstLine="480"/>
      </w:pPr>
      <w:r>
        <w:rPr>
          <w:rFonts w:ascii="Times New Roman" w:hAnsi="Times New Roman" w:eastAsia="宋体"/>
          <w:b w:val="0"/>
          <w:sz w:val="24"/>
        </w:rPr>
        <w:t>combustible dust hazards, and thus a potential risk of dust explosions under the approach described in annex 11 in a</w:t>
      </w:r>
    </w:p>
    <w:p>
      <w:pPr>
        <w:spacing w:line="360" w:lineRule="auto"/>
        <w:ind w:firstLine="480"/>
      </w:pPr>
      <w:r>
        <w:rPr>
          <w:rFonts w:ascii="Times New Roman" w:hAnsi="Times New Roman" w:eastAsia="宋体"/>
          <w:b w:val="0"/>
          <w:sz w:val="24"/>
        </w:rPr>
        <w:t>standardized manner, competent authorities may allow the use of the phrases identified in A11.2.7.3 on labels, SDSs</w:t>
      </w:r>
    </w:p>
    <w:p>
      <w:pPr>
        <w:spacing w:line="360" w:lineRule="auto"/>
        <w:ind w:firstLine="480"/>
      </w:pPr>
      <w:r>
        <w:rPr>
          <w:rFonts w:ascii="Times New Roman" w:hAnsi="Times New Roman" w:eastAsia="宋体"/>
          <w:b w:val="0"/>
          <w:sz w:val="24"/>
        </w:rPr>
        <w:t>and/or in operating instructions or may leave the choice to the manufacturer or supplier.</w:t>
      </w:r>
    </w:p>
    <w:p>
      <w:pPr>
        <w:spacing w:line="360" w:lineRule="auto"/>
        <w:ind w:firstLine="480"/>
      </w:pPr>
      <w:r>
        <w:rPr>
          <w:rFonts w:ascii="Times New Roman" w:hAnsi="Times New Roman" w:eastAsia="宋体"/>
          <w:b w:val="0"/>
          <w:sz w:val="24"/>
        </w:rPr>
        <w:t>A4.3.3</w:t>
      </w:r>
    </w:p>
    <w:p>
      <w:pPr>
        <w:spacing w:line="360" w:lineRule="auto"/>
        <w:ind w:firstLine="480"/>
      </w:pPr>
      <w:r>
        <w:rPr>
          <w:rFonts w:ascii="Times New Roman" w:hAnsi="Times New Roman" w:eastAsia="宋体"/>
          <w:b w:val="0"/>
          <w:sz w:val="24"/>
        </w:rPr>
        <w:t>SECTION 3: Composition/information on ingredients</w:t>
      </w:r>
    </w:p>
    <w:p>
      <w:pPr>
        <w:spacing w:line="360" w:lineRule="auto"/>
        <w:ind w:firstLine="480"/>
      </w:pPr>
      <w:r>
        <w:rPr>
          <w:rFonts w:ascii="Times New Roman" w:hAnsi="Times New Roman" w:eastAsia="宋体"/>
          <w:b w:val="0"/>
          <w:sz w:val="24"/>
        </w:rPr>
        <w:t>Identify the ingredient(s) of the product in this section. This includes identifying impurities and</w:t>
      </w:r>
    </w:p>
    <w:p>
      <w:pPr>
        <w:spacing w:line="360" w:lineRule="auto"/>
        <w:ind w:firstLine="480"/>
      </w:pPr>
      <w:r>
        <w:rPr>
          <w:rFonts w:ascii="Times New Roman" w:hAnsi="Times New Roman" w:eastAsia="宋体"/>
          <w:b w:val="0"/>
          <w:sz w:val="24"/>
        </w:rPr>
        <w:t>stabilizing additives which are themselves classified and which contribute to the classification of the substance. This</w:t>
      </w:r>
    </w:p>
    <w:p>
      <w:pPr>
        <w:spacing w:line="360" w:lineRule="auto"/>
        <w:ind w:firstLine="480"/>
      </w:pPr>
      <w:r>
        <w:rPr>
          <w:rFonts w:ascii="Times New Roman" w:hAnsi="Times New Roman" w:eastAsia="宋体"/>
          <w:b w:val="0"/>
          <w:sz w:val="24"/>
        </w:rPr>
        <w:t>section may also be used to provide information on complex substances.</w:t>
      </w:r>
    </w:p>
    <w:p>
      <w:pPr>
        <w:spacing w:line="360" w:lineRule="auto"/>
        <w:ind w:firstLine="480"/>
      </w:pPr>
      <w:r>
        <w:rPr>
          <w:rFonts w:ascii="Times New Roman" w:hAnsi="Times New Roman" w:eastAsia="宋体"/>
          <w:b w:val="0"/>
          <w:sz w:val="24"/>
        </w:rPr>
        <w:t>NOTE:</w:t>
      </w:r>
    </w:p>
    <w:p>
      <w:pPr>
        <w:spacing w:line="360" w:lineRule="auto"/>
        <w:ind w:firstLine="480"/>
      </w:pPr>
      <w:r>
        <w:rPr>
          <w:rFonts w:ascii="Times New Roman" w:hAnsi="Times New Roman" w:eastAsia="宋体"/>
          <w:b w:val="0"/>
          <w:sz w:val="24"/>
        </w:rPr>
        <w:t>For information on ingredients, the competent authority rules for confidential business information take</w:t>
      </w:r>
    </w:p>
    <w:p>
      <w:pPr>
        <w:spacing w:line="360" w:lineRule="auto"/>
        <w:ind w:firstLine="480"/>
      </w:pPr>
      <w:r>
        <w:rPr>
          <w:rFonts w:ascii="Times New Roman" w:hAnsi="Times New Roman" w:eastAsia="宋体"/>
          <w:b w:val="0"/>
          <w:sz w:val="24"/>
        </w:rPr>
        <w:t>priority over the rules for product identification. When applicable, indicate that confidential information about the</w:t>
      </w:r>
    </w:p>
    <w:p>
      <w:pPr>
        <w:spacing w:line="360" w:lineRule="auto"/>
        <w:ind w:firstLine="480"/>
      </w:pPr>
      <w:r>
        <w:rPr>
          <w:rFonts w:ascii="Times New Roman" w:hAnsi="Times New Roman" w:eastAsia="宋体"/>
          <w:b w:val="0"/>
          <w:sz w:val="24"/>
        </w:rPr>
        <w:t>composition was omitted.</w:t>
      </w:r>
    </w:p>
    <w:p>
      <w:pPr>
        <w:spacing w:line="360" w:lineRule="auto"/>
        <w:ind w:firstLine="480"/>
      </w:pPr>
      <w:r>
        <w:rPr>
          <w:rFonts w:ascii="Times New Roman" w:hAnsi="Times New Roman" w:eastAsia="宋体"/>
          <w:b w:val="0"/>
          <w:sz w:val="24"/>
        </w:rPr>
        <w:t>A4.3.3.1</w:t>
      </w:r>
    </w:p>
    <w:p>
      <w:pPr>
        <w:spacing w:line="360" w:lineRule="auto"/>
        <w:ind w:firstLine="480"/>
      </w:pPr>
      <w:r>
        <w:rPr>
          <w:rFonts w:ascii="Times New Roman" w:hAnsi="Times New Roman" w:eastAsia="宋体"/>
          <w:b w:val="0"/>
          <w:sz w:val="24"/>
        </w:rPr>
        <w:t>Substances</w:t>
      </w:r>
    </w:p>
    <w:p>
      <w:pPr>
        <w:spacing w:line="360" w:lineRule="auto"/>
        <w:ind w:firstLine="480"/>
      </w:pPr>
      <w:r>
        <w:rPr>
          <w:rFonts w:ascii="Times New Roman" w:hAnsi="Times New Roman" w:eastAsia="宋体"/>
          <w:b w:val="0"/>
          <w:sz w:val="24"/>
        </w:rPr>
        <w:t>A4.3.3.1.1</w:t>
      </w:r>
    </w:p>
    <w:p>
      <w:pPr>
        <w:spacing w:line="360" w:lineRule="auto"/>
        <w:ind w:firstLine="480"/>
      </w:pPr>
      <w:r>
        <w:rPr>
          <w:rFonts w:ascii="Times New Roman" w:hAnsi="Times New Roman" w:eastAsia="宋体"/>
          <w:b w:val="0"/>
          <w:sz w:val="24"/>
        </w:rPr>
        <w:t>Chemical identity of the substance</w:t>
      </w:r>
    </w:p>
    <w:p>
      <w:pPr>
        <w:spacing w:line="360" w:lineRule="auto"/>
        <w:ind w:firstLine="480"/>
      </w:pPr>
      <w:r>
        <w:rPr>
          <w:rFonts w:ascii="Times New Roman" w:hAnsi="Times New Roman" w:eastAsia="宋体"/>
          <w:b w:val="0"/>
          <w:sz w:val="24"/>
        </w:rPr>
        <w:t>The identity of a substance is provided by its common chemical name. The chemical name can be</w:t>
      </w:r>
    </w:p>
    <w:p>
      <w:pPr>
        <w:spacing w:line="360" w:lineRule="auto"/>
        <w:ind w:firstLine="480"/>
      </w:pPr>
      <w:r>
        <w:rPr>
          <w:rFonts w:ascii="Times New Roman" w:hAnsi="Times New Roman" w:eastAsia="宋体"/>
          <w:b w:val="0"/>
          <w:sz w:val="24"/>
        </w:rPr>
        <w:t>identical to the GHS product identifier.</w:t>
      </w:r>
    </w:p>
    <w:p>
      <w:pPr>
        <w:spacing w:line="360" w:lineRule="auto"/>
        <w:ind w:firstLine="480"/>
      </w:pPr>
      <w:r>
        <w:rPr>
          <w:rFonts w:ascii="Times New Roman" w:hAnsi="Times New Roman" w:eastAsia="宋体"/>
          <w:b w:val="0"/>
          <w:sz w:val="24"/>
        </w:rPr>
        <w:t>NOTE:</w:t>
      </w:r>
    </w:p>
    <w:p>
      <w:pPr>
        <w:spacing w:line="360" w:lineRule="auto"/>
        <w:ind w:firstLine="480"/>
      </w:pPr>
      <w:r>
        <w:rPr>
          <w:rFonts w:ascii="Times New Roman" w:hAnsi="Times New Roman" w:eastAsia="宋体"/>
          <w:b w:val="0"/>
          <w:sz w:val="24"/>
        </w:rPr>
        <w:t>The “common chemical name” may, for example, be the CAS name or IUPAC name, as applicable.</w:t>
      </w:r>
    </w:p>
    <w:p>
      <w:pPr>
        <w:spacing w:line="360" w:lineRule="auto"/>
        <w:ind w:firstLine="480"/>
      </w:pPr>
      <w:r>
        <w:rPr>
          <w:rFonts w:ascii="Times New Roman" w:hAnsi="Times New Roman" w:eastAsia="宋体"/>
          <w:b w:val="0"/>
          <w:sz w:val="24"/>
        </w:rPr>
        <w:t>A4.3.3.1.2</w:t>
      </w:r>
    </w:p>
    <w:p>
      <w:pPr>
        <w:spacing w:line="360" w:lineRule="auto"/>
        <w:ind w:firstLine="480"/>
      </w:pPr>
      <w:r>
        <w:rPr>
          <w:rFonts w:ascii="Times New Roman" w:hAnsi="Times New Roman" w:eastAsia="宋体"/>
          <w:b w:val="0"/>
          <w:sz w:val="24"/>
        </w:rPr>
        <w:t>Common name(s), synonym(s) of the substance</w:t>
      </w:r>
    </w:p>
    <w:p>
      <w:pPr>
        <w:spacing w:line="360" w:lineRule="auto"/>
        <w:ind w:firstLine="480"/>
      </w:pPr>
      <w:r>
        <w:rPr>
          <w:rFonts w:ascii="Times New Roman" w:hAnsi="Times New Roman" w:eastAsia="宋体"/>
          <w:b w:val="0"/>
          <w:sz w:val="24"/>
        </w:rPr>
        <w:t>Common names and synonyms should be provided where appropriate.</w:t>
      </w:r>
    </w:p>
    <w:p>
      <w:pPr>
        <w:spacing w:line="360" w:lineRule="auto"/>
        <w:ind w:firstLine="480"/>
      </w:pPr>
      <w:r>
        <w:rPr>
          <w:rFonts w:ascii="Times New Roman" w:hAnsi="Times New Roman" w:eastAsia="宋体"/>
          <w:b w:val="0"/>
          <w:sz w:val="24"/>
        </w:rPr>
        <w:t>A4.3.3.1.3</w:t>
      </w:r>
    </w:p>
    <w:p>
      <w:pPr>
        <w:spacing w:line="360" w:lineRule="auto"/>
        <w:ind w:firstLine="480"/>
      </w:pPr>
      <w:r>
        <w:rPr>
          <w:rFonts w:ascii="Times New Roman" w:hAnsi="Times New Roman" w:eastAsia="宋体"/>
          <w:b w:val="0"/>
          <w:sz w:val="24"/>
        </w:rPr>
        <w:t>CAS number and other unique identifiers for the substance</w:t>
      </w:r>
    </w:p>
    <w:p>
      <w:pPr>
        <w:spacing w:line="360" w:lineRule="auto"/>
        <w:ind w:firstLine="480"/>
      </w:pPr>
      <w:r>
        <w:rPr>
          <w:rFonts w:ascii="Times New Roman" w:hAnsi="Times New Roman" w:eastAsia="宋体"/>
          <w:b w:val="0"/>
          <w:sz w:val="24"/>
        </w:rPr>
        <w:t>The Chemical Abstract Service (CAS) registry number provides a unique chemical identification and</w:t>
      </w:r>
    </w:p>
    <w:p>
      <w:pPr>
        <w:spacing w:line="360" w:lineRule="auto"/>
        <w:ind w:firstLine="480"/>
      </w:pPr>
      <w:r>
        <w:rPr>
          <w:rFonts w:ascii="Times New Roman" w:hAnsi="Times New Roman" w:eastAsia="宋体"/>
          <w:b w:val="0"/>
          <w:sz w:val="24"/>
        </w:rPr>
        <w:t>should be provided when available. Other unique identifiers specific to a country or region, such as the European</w:t>
      </w:r>
    </w:p>
    <w:p>
      <w:pPr>
        <w:spacing w:line="360" w:lineRule="auto"/>
        <w:ind w:firstLine="480"/>
      </w:pPr>
      <w:r>
        <w:rPr>
          <w:rFonts w:ascii="Times New Roman" w:hAnsi="Times New Roman" w:eastAsia="宋体"/>
          <w:b w:val="0"/>
          <w:sz w:val="24"/>
        </w:rPr>
        <w:t>Community (EC) number could be added.</w:t>
      </w:r>
    </w:p>
    <w:p>
      <w:pPr>
        <w:spacing w:line="360" w:lineRule="auto"/>
        <w:ind w:firstLine="480"/>
      </w:pPr>
      <w:r>
        <w:rPr>
          <w:rFonts w:ascii="Times New Roman" w:hAnsi="Times New Roman" w:eastAsia="宋体"/>
          <w:b w:val="0"/>
          <w:sz w:val="24"/>
        </w:rPr>
        <w:t>A4.3.3.1.4</w:t>
      </w:r>
    </w:p>
    <w:p>
      <w:pPr>
        <w:spacing w:line="360" w:lineRule="auto"/>
        <w:ind w:firstLine="480"/>
      </w:pPr>
      <w:r>
        <w:rPr>
          <w:rFonts w:ascii="Times New Roman" w:hAnsi="Times New Roman" w:eastAsia="宋体"/>
          <w:b w:val="0"/>
          <w:sz w:val="24"/>
        </w:rPr>
        <w:t>Impurities and stabilizing additives which are themselves classified and which contribute to the</w:t>
      </w:r>
    </w:p>
    <w:p>
      <w:pPr>
        <w:spacing w:line="360" w:lineRule="auto"/>
        <w:ind w:firstLine="480"/>
      </w:pPr>
      <w:r>
        <w:rPr>
          <w:rFonts w:ascii="Times New Roman" w:hAnsi="Times New Roman" w:eastAsia="宋体"/>
          <w:b w:val="0"/>
          <w:sz w:val="24"/>
        </w:rPr>
        <w:t>classification of the substance</w:t>
      </w:r>
    </w:p>
    <w:p>
      <w:pPr>
        <w:spacing w:line="360" w:lineRule="auto"/>
        <w:ind w:firstLine="480"/>
      </w:pPr>
      <w:r>
        <w:rPr>
          <w:rFonts w:ascii="Times New Roman" w:hAnsi="Times New Roman" w:eastAsia="宋体"/>
          <w:b w:val="0"/>
          <w:sz w:val="24"/>
        </w:rPr>
        <w:t>Identify any impurities and/or stabilizing additives, which are themselves classified and which</w:t>
      </w:r>
    </w:p>
    <w:p>
      <w:pPr>
        <w:spacing w:line="360" w:lineRule="auto"/>
        <w:ind w:firstLine="480"/>
      </w:pPr>
      <w:r>
        <w:rPr>
          <w:rFonts w:ascii="Times New Roman" w:hAnsi="Times New Roman" w:eastAsia="宋体"/>
          <w:b w:val="0"/>
          <w:sz w:val="24"/>
        </w:rPr>
        <w:t>contribute to the classification of the substance.</w:t>
      </w:r>
    </w:p>
    <w:p>
      <w:pPr>
        <w:spacing w:line="360" w:lineRule="auto"/>
        <w:ind w:firstLine="480"/>
      </w:pPr>
      <w:r>
        <w:rPr>
          <w:rFonts w:ascii="Times New Roman" w:hAnsi="Times New Roman" w:eastAsia="宋体"/>
          <w:b w:val="0"/>
          <w:sz w:val="24"/>
        </w:rPr>
        <w:t>A4.3.3.2</w:t>
      </w:r>
    </w:p>
    <w:p>
      <w:pPr>
        <w:spacing w:line="360" w:lineRule="auto"/>
        <w:ind w:firstLine="480"/>
      </w:pPr>
      <w:r>
        <w:rPr>
          <w:rFonts w:ascii="Times New Roman" w:hAnsi="Times New Roman" w:eastAsia="宋体"/>
          <w:b w:val="0"/>
          <w:sz w:val="24"/>
        </w:rPr>
        <w:t>Mixtures</w:t>
      </w:r>
    </w:p>
    <w:p>
      <w:pPr>
        <w:spacing w:line="360" w:lineRule="auto"/>
        <w:ind w:firstLine="480"/>
      </w:pPr>
      <w:r>
        <w:rPr>
          <w:rFonts w:ascii="Times New Roman" w:hAnsi="Times New Roman" w:eastAsia="宋体"/>
          <w:b w:val="0"/>
          <w:sz w:val="24"/>
        </w:rPr>
        <w:t>A4.3.3.2.1</w:t>
      </w:r>
    </w:p>
    <w:p>
      <w:pPr>
        <w:spacing w:line="360" w:lineRule="auto"/>
        <w:ind w:firstLine="480"/>
      </w:pPr>
      <w:r>
        <w:rPr>
          <w:rFonts w:ascii="Times New Roman" w:hAnsi="Times New Roman" w:eastAsia="宋体"/>
          <w:b w:val="0"/>
          <w:sz w:val="24"/>
        </w:rPr>
        <w:t>For a mixture, provide the chemical identity, identification number (within the meaning of A4.3.3.1.3)</w:t>
      </w:r>
    </w:p>
    <w:p>
      <w:pPr>
        <w:spacing w:line="360" w:lineRule="auto"/>
        <w:ind w:firstLine="480"/>
      </w:pPr>
      <w:r>
        <w:rPr>
          <w:rFonts w:ascii="Times New Roman" w:hAnsi="Times New Roman" w:eastAsia="宋体"/>
          <w:b w:val="0"/>
          <w:sz w:val="24"/>
        </w:rPr>
        <w:t>and concentration or concentration ranges of all hazardous ingredients, which are hazardous to health or the environment</w:t>
      </w:r>
    </w:p>
    <w:p>
      <w:pPr>
        <w:spacing w:line="360" w:lineRule="auto"/>
        <w:ind w:firstLine="480"/>
      </w:pPr>
      <w:r>
        <w:rPr>
          <w:rFonts w:ascii="Times New Roman" w:hAnsi="Times New Roman" w:eastAsia="宋体"/>
          <w:b w:val="0"/>
          <w:sz w:val="24"/>
        </w:rPr>
        <w:t>within the meaning of the GHS, and are present above their cut-off levels. Manufacturers or suppliers may choose to list</w:t>
      </w:r>
    </w:p>
    <w:p>
      <w:pPr>
        <w:spacing w:line="360" w:lineRule="auto"/>
        <w:ind w:firstLine="480"/>
      </w:pPr>
      <w:r>
        <w:rPr>
          <w:rFonts w:ascii="Times New Roman" w:hAnsi="Times New Roman" w:eastAsia="宋体"/>
          <w:b w:val="0"/>
          <w:sz w:val="24"/>
        </w:rPr>
        <w:t>all ingredients, including non-hazardous ingredients.</w:t>
      </w:r>
    </w:p>
    <w:p>
      <w:pPr>
        <w:spacing w:line="360" w:lineRule="auto"/>
        <w:ind w:firstLine="480"/>
      </w:pPr>
      <w:r>
        <w:rPr>
          <w:rFonts w:ascii="Times New Roman" w:hAnsi="Times New Roman" w:eastAsia="宋体"/>
          <w:b w:val="0"/>
          <w:sz w:val="24"/>
        </w:rPr>
        <w:t>- 413 -</w:t>
      </w:r>
    </w:p>
    <w:p>
      <w:pPr>
        <w:spacing w:line="360" w:lineRule="auto"/>
        <w:ind w:firstLine="480"/>
      </w:pPr>
      <w:r>
        <w:rPr>
          <w:rFonts w:ascii="Times New Roman" w:hAnsi="Times New Roman" w:eastAsia="宋体"/>
          <w:b w:val="0"/>
          <w:sz w:val="24"/>
        </w:rPr>
        <w:t>A4.3.3.2.2</w:t>
      </w:r>
    </w:p>
    <w:p>
      <w:pPr>
        <w:spacing w:line="360" w:lineRule="auto"/>
        <w:ind w:firstLine="480"/>
      </w:pPr>
      <w:r>
        <w:rPr>
          <w:rFonts w:ascii="Times New Roman" w:hAnsi="Times New Roman" w:eastAsia="宋体"/>
          <w:b w:val="0"/>
          <w:sz w:val="24"/>
        </w:rPr>
        <w:t>The concentrations of the ingredients of a mixture should be described as:</w:t>
      </w:r>
    </w:p>
    <w:p>
      <w:pPr>
        <w:spacing w:line="360" w:lineRule="auto"/>
        <w:ind w:firstLine="480"/>
      </w:pPr>
      <w:r>
        <w:rPr>
          <w:rFonts w:ascii="Times New Roman" w:hAnsi="Times New Roman" w:eastAsia="宋体"/>
          <w:b w:val="0"/>
          <w:sz w:val="24"/>
        </w:rPr>
        <w:t>(a)</w:t>
      </w:r>
    </w:p>
    <w:p>
      <w:pPr>
        <w:spacing w:line="360" w:lineRule="auto"/>
        <w:ind w:firstLine="480"/>
      </w:pPr>
      <w:r>
        <w:rPr>
          <w:rFonts w:ascii="Times New Roman" w:hAnsi="Times New Roman" w:eastAsia="宋体"/>
          <w:b w:val="0"/>
          <w:sz w:val="24"/>
        </w:rPr>
        <w:t>exact percentages in descending order by mass or volume; or</w:t>
      </w:r>
    </w:p>
    <w:p>
      <w:pPr>
        <w:spacing w:line="360" w:lineRule="auto"/>
        <w:ind w:firstLine="480"/>
      </w:pPr>
      <w:r>
        <w:rPr>
          <w:rFonts w:ascii="Times New Roman" w:hAnsi="Times New Roman" w:eastAsia="宋体"/>
          <w:b w:val="0"/>
          <w:sz w:val="24"/>
        </w:rPr>
        <w:t>(b)</w:t>
      </w:r>
    </w:p>
    <w:p>
      <w:pPr>
        <w:spacing w:line="360" w:lineRule="auto"/>
        <w:ind w:firstLine="480"/>
      </w:pPr>
      <w:r>
        <w:rPr>
          <w:rFonts w:ascii="Times New Roman" w:hAnsi="Times New Roman" w:eastAsia="宋体"/>
          <w:b w:val="0"/>
          <w:sz w:val="24"/>
        </w:rPr>
        <w:t>ranges of percentages in descending order by mass or volume if such ranges are acceptable to</w:t>
      </w:r>
    </w:p>
    <w:p>
      <w:pPr>
        <w:spacing w:line="360" w:lineRule="auto"/>
        <w:ind w:firstLine="480"/>
      </w:pPr>
      <w:r>
        <w:rPr>
          <w:rFonts w:ascii="Times New Roman" w:hAnsi="Times New Roman" w:eastAsia="宋体"/>
          <w:b w:val="0"/>
          <w:sz w:val="24"/>
        </w:rPr>
        <w:t>the appropriate competent national authority.</w:t>
      </w:r>
    </w:p>
    <w:p>
      <w:pPr>
        <w:spacing w:line="360" w:lineRule="auto"/>
        <w:ind w:firstLine="480"/>
      </w:pPr>
      <w:r>
        <w:rPr>
          <w:rFonts w:ascii="Times New Roman" w:hAnsi="Times New Roman" w:eastAsia="宋体"/>
          <w:b w:val="0"/>
          <w:sz w:val="24"/>
        </w:rPr>
        <w:t>A4.3.3.2.3</w:t>
      </w:r>
    </w:p>
    <w:p>
      <w:pPr>
        <w:spacing w:line="360" w:lineRule="auto"/>
        <w:ind w:firstLine="480"/>
      </w:pPr>
      <w:r>
        <w:rPr>
          <w:rFonts w:ascii="Times New Roman" w:hAnsi="Times New Roman" w:eastAsia="宋体"/>
          <w:b w:val="0"/>
          <w:sz w:val="24"/>
        </w:rPr>
        <w:t>When using a proportion range, the health and environmental hazard effects should describe the effects</w:t>
      </w:r>
    </w:p>
    <w:p>
      <w:pPr>
        <w:spacing w:line="360" w:lineRule="auto"/>
        <w:ind w:firstLine="480"/>
      </w:pPr>
      <w:r>
        <w:rPr>
          <w:rFonts w:ascii="Times New Roman" w:hAnsi="Times New Roman" w:eastAsia="宋体"/>
          <w:b w:val="0"/>
          <w:sz w:val="24"/>
        </w:rPr>
        <w:t>of the highest concentration of each ingredient, provided that the effects of the mixture as a whole are not available.</w:t>
      </w:r>
    </w:p>
    <w:p>
      <w:pPr>
        <w:spacing w:line="360" w:lineRule="auto"/>
        <w:ind w:firstLine="480"/>
      </w:pPr>
      <w:r>
        <w:rPr>
          <w:rFonts w:ascii="Times New Roman" w:hAnsi="Times New Roman" w:eastAsia="宋体"/>
          <w:b w:val="0"/>
          <w:sz w:val="24"/>
        </w:rPr>
        <w:t>NOTE:</w:t>
      </w:r>
    </w:p>
    <w:p>
      <w:pPr>
        <w:spacing w:line="360" w:lineRule="auto"/>
        <w:ind w:firstLine="480"/>
      </w:pPr>
      <w:r>
        <w:rPr>
          <w:rFonts w:ascii="Times New Roman" w:hAnsi="Times New Roman" w:eastAsia="宋体"/>
          <w:b w:val="0"/>
          <w:sz w:val="24"/>
        </w:rPr>
        <w:t>The “proportion range” refers to the concentration or percentage range of the ingredient in the mixture.</w:t>
      </w:r>
    </w:p>
    <w:p>
      <w:pPr>
        <w:spacing w:line="360" w:lineRule="auto"/>
        <w:ind w:firstLine="480"/>
      </w:pPr>
      <w:r>
        <w:rPr>
          <w:rFonts w:ascii="Times New Roman" w:hAnsi="Times New Roman" w:eastAsia="宋体"/>
          <w:b w:val="0"/>
          <w:sz w:val="24"/>
        </w:rPr>
        <w:t>A4.3.4</w:t>
      </w:r>
    </w:p>
    <w:p>
      <w:pPr>
        <w:spacing w:line="360" w:lineRule="auto"/>
        <w:ind w:firstLine="480"/>
      </w:pPr>
      <w:r>
        <w:rPr>
          <w:rFonts w:ascii="Times New Roman" w:hAnsi="Times New Roman" w:eastAsia="宋体"/>
          <w:b w:val="0"/>
          <w:sz w:val="24"/>
        </w:rPr>
        <w:t>SECTION 4: First-aid measures</w:t>
      </w:r>
    </w:p>
    <w:p>
      <w:pPr>
        <w:spacing w:line="360" w:lineRule="auto"/>
        <w:ind w:firstLine="480"/>
      </w:pPr>
      <w:r>
        <w:rPr>
          <w:rFonts w:ascii="Times New Roman" w:hAnsi="Times New Roman" w:eastAsia="宋体"/>
          <w:b w:val="0"/>
          <w:sz w:val="24"/>
        </w:rPr>
        <w:t>This section describes the initial care that can be given by an untrained responder without the use of</w:t>
      </w:r>
    </w:p>
    <w:p>
      <w:pPr>
        <w:spacing w:line="360" w:lineRule="auto"/>
        <w:ind w:firstLine="480"/>
      </w:pPr>
      <w:r>
        <w:rPr>
          <w:rFonts w:ascii="Times New Roman" w:hAnsi="Times New Roman" w:eastAsia="宋体"/>
          <w:b w:val="0"/>
          <w:sz w:val="24"/>
        </w:rPr>
        <w:t>sophisticated equipment and without a wide selection of medications available. If medical attention is required, the</w:t>
      </w:r>
    </w:p>
    <w:p>
      <w:pPr>
        <w:spacing w:line="360" w:lineRule="auto"/>
        <w:ind w:firstLine="480"/>
      </w:pPr>
      <w:r>
        <w:rPr>
          <w:rFonts w:ascii="Times New Roman" w:hAnsi="Times New Roman" w:eastAsia="宋体"/>
          <w:b w:val="0"/>
          <w:sz w:val="24"/>
        </w:rPr>
        <w:t>instructions should state this, including its urgency. It may be useful to provide information on the immediate effects, by</w:t>
      </w:r>
    </w:p>
    <w:p>
      <w:pPr>
        <w:spacing w:line="360" w:lineRule="auto"/>
        <w:ind w:firstLine="480"/>
      </w:pPr>
      <w:r>
        <w:rPr>
          <w:rFonts w:ascii="Times New Roman" w:hAnsi="Times New Roman" w:eastAsia="宋体"/>
          <w:b w:val="0"/>
          <w:sz w:val="24"/>
        </w:rPr>
        <w:t>route of exposure, and indicate the immediate treatment, followed by possible delayed effects with specific medical</w:t>
      </w:r>
    </w:p>
    <w:p>
      <w:pPr>
        <w:spacing w:line="360" w:lineRule="auto"/>
        <w:ind w:firstLine="480"/>
      </w:pPr>
      <w:r>
        <w:rPr>
          <w:rFonts w:ascii="Times New Roman" w:hAnsi="Times New Roman" w:eastAsia="宋体"/>
          <w:b w:val="0"/>
          <w:sz w:val="24"/>
        </w:rPr>
        <w:t>surveillance required.</w:t>
      </w:r>
    </w:p>
    <w:p>
      <w:pPr>
        <w:spacing w:line="360" w:lineRule="auto"/>
        <w:ind w:firstLine="480"/>
      </w:pPr>
      <w:r>
        <w:rPr>
          <w:rFonts w:ascii="Times New Roman" w:hAnsi="Times New Roman" w:eastAsia="宋体"/>
          <w:b w:val="0"/>
          <w:sz w:val="24"/>
        </w:rPr>
        <w:t>A4.3.4.1</w:t>
      </w:r>
    </w:p>
    <w:p>
      <w:pPr>
        <w:spacing w:line="360" w:lineRule="auto"/>
        <w:ind w:firstLine="480"/>
      </w:pPr>
      <w:r>
        <w:rPr>
          <w:rFonts w:ascii="Times New Roman" w:hAnsi="Times New Roman" w:eastAsia="宋体"/>
          <w:b w:val="0"/>
          <w:sz w:val="24"/>
        </w:rPr>
        <w:t>Description of necessary first-aid measures</w:t>
      </w:r>
    </w:p>
    <w:p>
      <w:pPr>
        <w:spacing w:line="360" w:lineRule="auto"/>
        <w:ind w:firstLine="480"/>
      </w:pPr>
      <w:r>
        <w:rPr>
          <w:rFonts w:ascii="Times New Roman" w:hAnsi="Times New Roman" w:eastAsia="宋体"/>
          <w:b w:val="0"/>
          <w:sz w:val="24"/>
        </w:rPr>
        <w:t>A4.3.4.1.1</w:t>
      </w:r>
    </w:p>
    <w:p>
      <w:pPr>
        <w:spacing w:line="360" w:lineRule="auto"/>
        <w:ind w:firstLine="480"/>
      </w:pPr>
      <w:r>
        <w:rPr>
          <w:rFonts w:ascii="Times New Roman" w:hAnsi="Times New Roman" w:eastAsia="宋体"/>
          <w:b w:val="0"/>
          <w:sz w:val="24"/>
        </w:rPr>
        <w:t>Provide first-aid instructions by relevant routes of exposure. Use sub-headings to indicate the procedure</w:t>
      </w:r>
    </w:p>
    <w:p>
      <w:pPr>
        <w:spacing w:line="360" w:lineRule="auto"/>
        <w:ind w:firstLine="480"/>
      </w:pPr>
      <w:r>
        <w:rPr>
          <w:rFonts w:ascii="Times New Roman" w:hAnsi="Times New Roman" w:eastAsia="宋体"/>
          <w:b w:val="0"/>
          <w:sz w:val="24"/>
        </w:rPr>
        <w:t>for each route (e.g. inhalation, skin, eye and ingestion). Describe expected immediate and delayed symptoms.</w:t>
      </w:r>
    </w:p>
    <w:p>
      <w:pPr>
        <w:spacing w:line="360" w:lineRule="auto"/>
        <w:ind w:firstLine="480"/>
      </w:pPr>
      <w:r>
        <w:rPr>
          <w:rFonts w:ascii="Times New Roman" w:hAnsi="Times New Roman" w:eastAsia="宋体"/>
          <w:b w:val="0"/>
          <w:sz w:val="24"/>
        </w:rPr>
        <w:t>A4.3.4.1.2</w:t>
      </w:r>
    </w:p>
    <w:p>
      <w:pPr>
        <w:spacing w:line="360" w:lineRule="auto"/>
        <w:ind w:firstLine="480"/>
      </w:pPr>
      <w:r>
        <w:rPr>
          <w:rFonts w:ascii="Times New Roman" w:hAnsi="Times New Roman" w:eastAsia="宋体"/>
          <w:b w:val="0"/>
          <w:sz w:val="24"/>
        </w:rPr>
        <w:t>Provide advice whether:</w:t>
      </w:r>
    </w:p>
    <w:p>
      <w:pPr>
        <w:spacing w:line="360" w:lineRule="auto"/>
        <w:ind w:firstLine="480"/>
      </w:pPr>
      <w:r>
        <w:rPr>
          <w:rFonts w:ascii="Times New Roman" w:hAnsi="Times New Roman" w:eastAsia="宋体"/>
          <w:b w:val="0"/>
          <w:sz w:val="24"/>
        </w:rPr>
        <w:t>(a)</w:t>
      </w:r>
    </w:p>
    <w:p>
      <w:pPr>
        <w:spacing w:line="360" w:lineRule="auto"/>
        <w:ind w:firstLine="480"/>
      </w:pPr>
      <w:r>
        <w:rPr>
          <w:rFonts w:ascii="Times New Roman" w:hAnsi="Times New Roman" w:eastAsia="宋体"/>
          <w:b w:val="0"/>
          <w:sz w:val="24"/>
        </w:rPr>
        <w:t>immediate medical attention is required and if delayed effects can be expected after exposure;</w:t>
      </w:r>
    </w:p>
    <w:p>
      <w:pPr>
        <w:spacing w:line="360" w:lineRule="auto"/>
        <w:ind w:firstLine="480"/>
      </w:pPr>
      <w:r>
        <w:rPr>
          <w:rFonts w:ascii="Times New Roman" w:hAnsi="Times New Roman" w:eastAsia="宋体"/>
          <w:b w:val="0"/>
          <w:sz w:val="24"/>
        </w:rPr>
        <w:t>(b)</w:t>
      </w:r>
    </w:p>
    <w:p>
      <w:pPr>
        <w:spacing w:line="360" w:lineRule="auto"/>
        <w:ind w:firstLine="480"/>
      </w:pPr>
      <w:r>
        <w:rPr>
          <w:rFonts w:ascii="Times New Roman" w:hAnsi="Times New Roman" w:eastAsia="宋体"/>
          <w:b w:val="0"/>
          <w:sz w:val="24"/>
        </w:rPr>
        <w:t>movement of the exposed individual from the area to fresh air is recommended;</w:t>
      </w:r>
    </w:p>
    <w:p>
      <w:pPr>
        <w:spacing w:line="360" w:lineRule="auto"/>
        <w:ind w:firstLine="480"/>
      </w:pPr>
      <w:r>
        <w:rPr>
          <w:rFonts w:ascii="Times New Roman" w:hAnsi="Times New Roman" w:eastAsia="宋体"/>
          <w:b w:val="0"/>
          <w:sz w:val="24"/>
        </w:rPr>
        <w:t>(c)</w:t>
      </w:r>
    </w:p>
    <w:p>
      <w:pPr>
        <w:spacing w:line="360" w:lineRule="auto"/>
        <w:ind w:firstLine="480"/>
      </w:pPr>
      <w:r>
        <w:rPr>
          <w:rFonts w:ascii="Times New Roman" w:hAnsi="Times New Roman" w:eastAsia="宋体"/>
          <w:b w:val="0"/>
          <w:sz w:val="24"/>
        </w:rPr>
        <w:t>removal and handling of clothing and shoes from the individual is recommended; and</w:t>
      </w:r>
    </w:p>
    <w:p>
      <w:pPr>
        <w:spacing w:line="360" w:lineRule="auto"/>
        <w:ind w:firstLine="480"/>
      </w:pPr>
      <w:r>
        <w:rPr>
          <w:rFonts w:ascii="Times New Roman" w:hAnsi="Times New Roman" w:eastAsia="宋体"/>
          <w:b w:val="0"/>
          <w:sz w:val="24"/>
        </w:rPr>
        <w:t>(d)</w:t>
      </w:r>
    </w:p>
    <w:p>
      <w:pPr>
        <w:spacing w:line="360" w:lineRule="auto"/>
        <w:ind w:firstLine="480"/>
      </w:pPr>
      <w:r>
        <w:rPr>
          <w:rFonts w:ascii="Times New Roman" w:hAnsi="Times New Roman" w:eastAsia="宋体"/>
          <w:b w:val="0"/>
          <w:sz w:val="24"/>
        </w:rPr>
        <w:t>personal protective equipment (PPE) for first-aid responders is recommended.</w:t>
      </w:r>
    </w:p>
    <w:p>
      <w:pPr>
        <w:spacing w:line="360" w:lineRule="auto"/>
        <w:ind w:firstLine="480"/>
      </w:pPr>
      <w:r>
        <w:rPr>
          <w:rFonts w:ascii="Times New Roman" w:hAnsi="Times New Roman" w:eastAsia="宋体"/>
          <w:b w:val="0"/>
          <w:sz w:val="24"/>
        </w:rPr>
        <w:t>A4.3.4.2</w:t>
      </w:r>
    </w:p>
    <w:p>
      <w:pPr>
        <w:spacing w:line="360" w:lineRule="auto"/>
        <w:ind w:firstLine="480"/>
      </w:pPr>
      <w:r>
        <w:rPr>
          <w:rFonts w:ascii="Times New Roman" w:hAnsi="Times New Roman" w:eastAsia="宋体"/>
          <w:b w:val="0"/>
          <w:sz w:val="24"/>
        </w:rPr>
        <w:t>Most important symptoms/effects, acute and delayed</w:t>
      </w:r>
    </w:p>
    <w:p>
      <w:pPr>
        <w:spacing w:line="360" w:lineRule="auto"/>
        <w:ind w:firstLine="480"/>
      </w:pPr>
      <w:r>
        <w:rPr>
          <w:rFonts w:ascii="Times New Roman" w:hAnsi="Times New Roman" w:eastAsia="宋体"/>
          <w:b w:val="0"/>
          <w:sz w:val="24"/>
        </w:rPr>
        <w:t>Provide information on the most important symptoms/effects, acute and delayed, from exposure.</w:t>
      </w:r>
    </w:p>
    <w:p>
      <w:pPr>
        <w:spacing w:line="360" w:lineRule="auto"/>
        <w:ind w:firstLine="480"/>
      </w:pPr>
      <w:r>
        <w:rPr>
          <w:rFonts w:ascii="Times New Roman" w:hAnsi="Times New Roman" w:eastAsia="宋体"/>
          <w:b w:val="0"/>
          <w:sz w:val="24"/>
        </w:rPr>
        <w:t>A4.3.4.3</w:t>
      </w:r>
    </w:p>
    <w:p>
      <w:pPr>
        <w:spacing w:line="360" w:lineRule="auto"/>
        <w:ind w:firstLine="480"/>
      </w:pPr>
      <w:r>
        <w:rPr>
          <w:rFonts w:ascii="Times New Roman" w:hAnsi="Times New Roman" w:eastAsia="宋体"/>
          <w:b w:val="0"/>
          <w:sz w:val="24"/>
        </w:rPr>
        <w:t>Indication of immediate medical attention and special treatment needed, if necessary</w:t>
      </w:r>
    </w:p>
    <w:p>
      <w:pPr>
        <w:spacing w:line="360" w:lineRule="auto"/>
        <w:ind w:firstLine="480"/>
      </w:pPr>
      <w:r>
        <w:rPr>
          <w:rFonts w:ascii="Times New Roman" w:hAnsi="Times New Roman" w:eastAsia="宋体"/>
          <w:b w:val="0"/>
          <w:sz w:val="24"/>
        </w:rPr>
        <w:t>Where appropriate, provide information on clinical testing and medical monitoring for delayed effects,</w:t>
      </w:r>
    </w:p>
    <w:p>
      <w:pPr>
        <w:spacing w:line="360" w:lineRule="auto"/>
        <w:ind w:firstLine="480"/>
      </w:pPr>
      <w:r>
        <w:rPr>
          <w:rFonts w:ascii="Times New Roman" w:hAnsi="Times New Roman" w:eastAsia="宋体"/>
          <w:b w:val="0"/>
          <w:sz w:val="24"/>
        </w:rPr>
        <w:t>specific details on antidotes (where they are known) and contraindications.</w:t>
      </w:r>
    </w:p>
    <w:p>
      <w:pPr>
        <w:spacing w:line="360" w:lineRule="auto"/>
        <w:ind w:firstLine="480"/>
      </w:pPr>
      <w:r>
        <w:rPr>
          <w:rFonts w:ascii="Times New Roman" w:hAnsi="Times New Roman" w:eastAsia="宋体"/>
          <w:b w:val="0"/>
          <w:sz w:val="24"/>
        </w:rPr>
        <w:t>A4.3.5</w:t>
      </w:r>
    </w:p>
    <w:p>
      <w:pPr>
        <w:spacing w:line="360" w:lineRule="auto"/>
        <w:ind w:firstLine="480"/>
      </w:pPr>
      <w:r>
        <w:rPr>
          <w:rFonts w:ascii="Times New Roman" w:hAnsi="Times New Roman" w:eastAsia="宋体"/>
          <w:b w:val="0"/>
          <w:sz w:val="24"/>
        </w:rPr>
        <w:t>SECTION 5: Fire-fighting measures</w:t>
      </w:r>
    </w:p>
    <w:p>
      <w:pPr>
        <w:spacing w:line="360" w:lineRule="auto"/>
        <w:ind w:firstLine="480"/>
      </w:pPr>
      <w:r>
        <w:rPr>
          <w:rFonts w:ascii="Times New Roman" w:hAnsi="Times New Roman" w:eastAsia="宋体"/>
          <w:b w:val="0"/>
          <w:sz w:val="24"/>
        </w:rPr>
        <w:t>This section covers the requirements for fighting a fire caused by the substance or mixture or arising in</w:t>
      </w:r>
    </w:p>
    <w:p>
      <w:pPr>
        <w:spacing w:line="360" w:lineRule="auto"/>
        <w:ind w:firstLine="480"/>
      </w:pPr>
      <w:r>
        <w:rPr>
          <w:rFonts w:ascii="Times New Roman" w:hAnsi="Times New Roman" w:eastAsia="宋体"/>
          <w:b w:val="0"/>
          <w:sz w:val="24"/>
        </w:rPr>
        <w:t>its vicinity.</w:t>
      </w:r>
    </w:p>
    <w:p>
      <w:pPr>
        <w:spacing w:line="360" w:lineRule="auto"/>
        <w:ind w:firstLine="480"/>
      </w:pPr>
      <w:r>
        <w:rPr>
          <w:rFonts w:ascii="Times New Roman" w:hAnsi="Times New Roman" w:eastAsia="宋体"/>
          <w:b w:val="0"/>
          <w:sz w:val="24"/>
        </w:rPr>
        <w:t>A4.3.5.1</w:t>
      </w:r>
    </w:p>
    <w:p>
      <w:pPr>
        <w:spacing w:line="360" w:lineRule="auto"/>
        <w:ind w:firstLine="480"/>
      </w:pPr>
      <w:r>
        <w:rPr>
          <w:rFonts w:ascii="Times New Roman" w:hAnsi="Times New Roman" w:eastAsia="宋体"/>
          <w:b w:val="0"/>
          <w:sz w:val="24"/>
        </w:rPr>
        <w:t>Suitable extinguishing media</w:t>
      </w:r>
    </w:p>
    <w:p>
      <w:pPr>
        <w:spacing w:line="360" w:lineRule="auto"/>
        <w:ind w:firstLine="480"/>
      </w:pPr>
      <w:r>
        <w:rPr>
          <w:rFonts w:ascii="Times New Roman" w:hAnsi="Times New Roman" w:eastAsia="宋体"/>
          <w:b w:val="0"/>
          <w:sz w:val="24"/>
        </w:rPr>
        <w:t>Provide information on the appropriate extinguishing media. In addition, indicate whether any</w:t>
      </w:r>
    </w:p>
    <w:p>
      <w:pPr>
        <w:spacing w:line="360" w:lineRule="auto"/>
        <w:ind w:firstLine="480"/>
      </w:pPr>
      <w:r>
        <w:rPr>
          <w:rFonts w:ascii="Times New Roman" w:hAnsi="Times New Roman" w:eastAsia="宋体"/>
          <w:b w:val="0"/>
          <w:sz w:val="24"/>
        </w:rPr>
        <w:t>extinguishing media are inappropriate for a particular situation involving the substance or mixture (e.g. avoid high</w:t>
      </w:r>
    </w:p>
    <w:p>
      <w:pPr>
        <w:spacing w:line="360" w:lineRule="auto"/>
        <w:ind w:firstLine="480"/>
      </w:pPr>
      <w:r>
        <w:rPr>
          <w:rFonts w:ascii="Times New Roman" w:hAnsi="Times New Roman" w:eastAsia="宋体"/>
          <w:b w:val="0"/>
          <w:sz w:val="24"/>
        </w:rPr>
        <w:t>pressure media which could cause the formation of a potentially explosible dust-air mixture).</w:t>
      </w:r>
    </w:p>
    <w:p>
      <w:pPr>
        <w:spacing w:line="360" w:lineRule="auto"/>
        <w:ind w:firstLine="480"/>
      </w:pPr>
      <w:r>
        <w:rPr>
          <w:rFonts w:ascii="Times New Roman" w:hAnsi="Times New Roman" w:eastAsia="宋体"/>
          <w:b w:val="0"/>
          <w:sz w:val="24"/>
        </w:rPr>
        <w:t>A4.3.5.2</w:t>
      </w:r>
    </w:p>
    <w:p>
      <w:pPr>
        <w:spacing w:line="360" w:lineRule="auto"/>
        <w:ind w:firstLine="480"/>
      </w:pPr>
      <w:r>
        <w:rPr>
          <w:rFonts w:ascii="Times New Roman" w:hAnsi="Times New Roman" w:eastAsia="宋体"/>
          <w:b w:val="0"/>
          <w:sz w:val="24"/>
        </w:rPr>
        <w:t>Specific hazards arising from the chemical</w:t>
      </w:r>
    </w:p>
    <w:p>
      <w:pPr>
        <w:spacing w:line="360" w:lineRule="auto"/>
        <w:ind w:firstLine="480"/>
      </w:pPr>
      <w:r>
        <w:rPr>
          <w:rFonts w:ascii="Times New Roman" w:hAnsi="Times New Roman" w:eastAsia="宋体"/>
          <w:b w:val="0"/>
          <w:sz w:val="24"/>
        </w:rPr>
        <w:t>Provide advice on specific hazards that may arise from the chemical, such as hazardous combustion</w:t>
      </w:r>
    </w:p>
    <w:p>
      <w:pPr>
        <w:spacing w:line="360" w:lineRule="auto"/>
        <w:ind w:firstLine="480"/>
      </w:pPr>
      <w:r>
        <w:rPr>
          <w:rFonts w:ascii="Times New Roman" w:hAnsi="Times New Roman" w:eastAsia="宋体"/>
          <w:b w:val="0"/>
          <w:sz w:val="24"/>
        </w:rPr>
        <w:t>products that form when the substance or mixture burns. For example:</w:t>
      </w:r>
    </w:p>
    <w:p>
      <w:pPr>
        <w:spacing w:line="360" w:lineRule="auto"/>
        <w:ind w:firstLine="480"/>
      </w:pPr>
      <w:r>
        <w:rPr>
          <w:rFonts w:ascii="Times New Roman" w:hAnsi="Times New Roman" w:eastAsia="宋体"/>
          <w:b w:val="0"/>
          <w:sz w:val="24"/>
        </w:rPr>
        <w:t>(a)</w:t>
      </w:r>
    </w:p>
    <w:p>
      <w:pPr>
        <w:spacing w:line="360" w:lineRule="auto"/>
        <w:ind w:firstLine="480"/>
      </w:pPr>
      <w:r>
        <w:rPr>
          <w:rFonts w:ascii="Times New Roman" w:hAnsi="Times New Roman" w:eastAsia="宋体"/>
          <w:b w:val="0"/>
          <w:sz w:val="24"/>
        </w:rPr>
        <w:t>“may produce toxic fumes of carbon monoxide if burning”; or</w:t>
      </w:r>
    </w:p>
    <w:p>
      <w:pPr>
        <w:spacing w:line="360" w:lineRule="auto"/>
        <w:ind w:firstLine="480"/>
      </w:pPr>
      <w:r>
        <w:rPr>
          <w:rFonts w:ascii="Times New Roman" w:hAnsi="Times New Roman" w:eastAsia="宋体"/>
          <w:b w:val="0"/>
          <w:sz w:val="24"/>
        </w:rPr>
        <w:t>- 414 -</w:t>
      </w:r>
    </w:p>
    <w:p>
      <w:pPr>
        <w:spacing w:line="360" w:lineRule="auto"/>
        <w:ind w:firstLine="480"/>
      </w:pPr>
      <w:r>
        <w:rPr>
          <w:rFonts w:ascii="Times New Roman" w:hAnsi="Times New Roman" w:eastAsia="宋体"/>
          <w:b w:val="0"/>
          <w:sz w:val="24"/>
        </w:rPr>
        <w:t>(b)</w:t>
      </w:r>
    </w:p>
    <w:p>
      <w:pPr>
        <w:spacing w:line="360" w:lineRule="auto"/>
        <w:ind w:firstLine="480"/>
      </w:pPr>
      <w:r>
        <w:rPr>
          <w:rFonts w:ascii="Times New Roman" w:hAnsi="Times New Roman" w:eastAsia="宋体"/>
          <w:b w:val="0"/>
          <w:sz w:val="24"/>
        </w:rPr>
        <w:t>“produces oxides of sulphur and nitrogen on combustion”.</w:t>
      </w:r>
    </w:p>
    <w:p>
      <w:pPr>
        <w:spacing w:line="360" w:lineRule="auto"/>
        <w:ind w:firstLine="480"/>
      </w:pPr>
      <w:r>
        <w:rPr>
          <w:rFonts w:ascii="Times New Roman" w:hAnsi="Times New Roman" w:eastAsia="宋体"/>
          <w:b w:val="0"/>
          <w:sz w:val="24"/>
        </w:rPr>
        <w:t>A4.3.5.3</w:t>
      </w:r>
    </w:p>
    <w:p>
      <w:pPr>
        <w:spacing w:line="360" w:lineRule="auto"/>
        <w:ind w:firstLine="480"/>
      </w:pPr>
      <w:r>
        <w:rPr>
          <w:rFonts w:ascii="Times New Roman" w:hAnsi="Times New Roman" w:eastAsia="宋体"/>
          <w:b w:val="0"/>
          <w:sz w:val="24"/>
        </w:rPr>
        <w:t>Special protective actions for fire-fighters</w:t>
      </w:r>
    </w:p>
    <w:p>
      <w:pPr>
        <w:spacing w:line="360" w:lineRule="auto"/>
        <w:ind w:firstLine="480"/>
      </w:pPr>
      <w:r>
        <w:rPr>
          <w:rFonts w:ascii="Times New Roman" w:hAnsi="Times New Roman" w:eastAsia="宋体"/>
          <w:b w:val="0"/>
          <w:sz w:val="24"/>
        </w:rPr>
        <w:t>A4.3.5.3.1</w:t>
      </w:r>
    </w:p>
    <w:p>
      <w:pPr>
        <w:spacing w:line="360" w:lineRule="auto"/>
        <w:ind w:firstLine="480"/>
      </w:pPr>
      <w:r>
        <w:rPr>
          <w:rFonts w:ascii="Times New Roman" w:hAnsi="Times New Roman" w:eastAsia="宋体"/>
          <w:b w:val="0"/>
          <w:sz w:val="24"/>
        </w:rPr>
        <w:t>Provide advice on any protective actions to be taken during fire fighting. For example, “keep containers</w:t>
      </w:r>
    </w:p>
    <w:p>
      <w:pPr>
        <w:spacing w:line="360" w:lineRule="auto"/>
        <w:ind w:firstLine="480"/>
      </w:pPr>
      <w:r>
        <w:rPr>
          <w:rFonts w:ascii="Times New Roman" w:hAnsi="Times New Roman" w:eastAsia="宋体"/>
          <w:b w:val="0"/>
          <w:sz w:val="24"/>
        </w:rPr>
        <w:t>cool with water spray”.</w:t>
      </w:r>
    </w:p>
    <w:p>
      <w:pPr>
        <w:spacing w:line="360" w:lineRule="auto"/>
        <w:ind w:firstLine="480"/>
      </w:pPr>
      <w:r>
        <w:rPr>
          <w:rFonts w:ascii="Times New Roman" w:hAnsi="Times New Roman" w:eastAsia="宋体"/>
          <w:b w:val="0"/>
          <w:sz w:val="24"/>
        </w:rPr>
        <w:t>A4.3.6</w:t>
      </w:r>
    </w:p>
    <w:p>
      <w:pPr>
        <w:spacing w:line="360" w:lineRule="auto"/>
        <w:ind w:firstLine="480"/>
      </w:pPr>
      <w:r>
        <w:rPr>
          <w:rFonts w:ascii="Times New Roman" w:hAnsi="Times New Roman" w:eastAsia="宋体"/>
          <w:b w:val="0"/>
          <w:sz w:val="24"/>
        </w:rPr>
        <w:t>SECTION 6: Accidental release measures</w:t>
      </w:r>
    </w:p>
    <w:p>
      <w:pPr>
        <w:spacing w:line="360" w:lineRule="auto"/>
        <w:ind w:firstLine="480"/>
      </w:pPr>
      <w:r>
        <w:rPr>
          <w:rFonts w:ascii="Times New Roman" w:hAnsi="Times New Roman" w:eastAsia="宋体"/>
          <w:b w:val="0"/>
          <w:sz w:val="24"/>
        </w:rPr>
        <w:t>This section recommends the appropriate response to spills, leaks, or releases in order to prevent or</w:t>
      </w:r>
    </w:p>
    <w:p>
      <w:pPr>
        <w:spacing w:line="360" w:lineRule="auto"/>
        <w:ind w:firstLine="480"/>
      </w:pPr>
      <w:r>
        <w:rPr>
          <w:rFonts w:ascii="Times New Roman" w:hAnsi="Times New Roman" w:eastAsia="宋体"/>
          <w:b w:val="0"/>
          <w:sz w:val="24"/>
        </w:rPr>
        <w:t>minimize the adverse effects on persons, property and the environment in this section. Distinguish between responses for</w:t>
      </w:r>
    </w:p>
    <w:p>
      <w:pPr>
        <w:spacing w:line="360" w:lineRule="auto"/>
        <w:ind w:firstLine="480"/>
      </w:pPr>
      <w:r>
        <w:rPr>
          <w:rFonts w:ascii="Times New Roman" w:hAnsi="Times New Roman" w:eastAsia="宋体"/>
          <w:b w:val="0"/>
          <w:sz w:val="24"/>
        </w:rPr>
        <w:t>large and small spills where the spill volume has a significant impact on the hazard. The procedures for containment and</w:t>
      </w:r>
    </w:p>
    <w:p>
      <w:pPr>
        <w:spacing w:line="360" w:lineRule="auto"/>
        <w:ind w:firstLine="480"/>
      </w:pPr>
      <w:r>
        <w:rPr>
          <w:rFonts w:ascii="Times New Roman" w:hAnsi="Times New Roman" w:eastAsia="宋体"/>
          <w:b w:val="0"/>
          <w:sz w:val="24"/>
        </w:rPr>
        <w:t>recovery may indicate that different practices are required.</w:t>
      </w:r>
    </w:p>
    <w:p>
      <w:pPr>
        <w:spacing w:line="360" w:lineRule="auto"/>
        <w:ind w:firstLine="480"/>
      </w:pPr>
      <w:r>
        <w:rPr>
          <w:rFonts w:ascii="Times New Roman" w:hAnsi="Times New Roman" w:eastAsia="宋体"/>
          <w:b w:val="0"/>
          <w:sz w:val="24"/>
        </w:rPr>
        <w:t>A4.3.6.1</w:t>
      </w:r>
    </w:p>
    <w:p>
      <w:pPr>
        <w:spacing w:line="360" w:lineRule="auto"/>
        <w:ind w:firstLine="480"/>
      </w:pPr>
      <w:r>
        <w:rPr>
          <w:rFonts w:ascii="Times New Roman" w:hAnsi="Times New Roman" w:eastAsia="宋体"/>
          <w:b w:val="0"/>
          <w:sz w:val="24"/>
        </w:rPr>
        <w:t>Personal precautions, protective equipment and emergency procedures</w:t>
      </w:r>
    </w:p>
    <w:p>
      <w:pPr>
        <w:spacing w:line="360" w:lineRule="auto"/>
        <w:ind w:firstLine="480"/>
      </w:pPr>
      <w:r>
        <w:rPr>
          <w:rFonts w:ascii="Times New Roman" w:hAnsi="Times New Roman" w:eastAsia="宋体"/>
          <w:b w:val="0"/>
          <w:sz w:val="24"/>
        </w:rPr>
        <w:t>A4.3.6.1.1</w:t>
      </w:r>
    </w:p>
    <w:p>
      <w:pPr>
        <w:spacing w:line="360" w:lineRule="auto"/>
        <w:ind w:firstLine="480"/>
      </w:pPr>
      <w:r>
        <w:rPr>
          <w:rFonts w:ascii="Times New Roman" w:hAnsi="Times New Roman" w:eastAsia="宋体"/>
          <w:b w:val="0"/>
          <w:sz w:val="24"/>
        </w:rPr>
        <w:t>For non-emergency personnel</w:t>
      </w:r>
    </w:p>
    <w:p>
      <w:pPr>
        <w:spacing w:line="360" w:lineRule="auto"/>
        <w:ind w:firstLine="480"/>
      </w:pPr>
      <w:r>
        <w:rPr>
          <w:rFonts w:ascii="Times New Roman" w:hAnsi="Times New Roman" w:eastAsia="宋体"/>
          <w:b w:val="0"/>
          <w:sz w:val="24"/>
        </w:rPr>
        <w:t>Provide advice related to accidental spills and release of the substance or mixture such as:</w:t>
      </w:r>
    </w:p>
    <w:p>
      <w:pPr>
        <w:spacing w:line="360" w:lineRule="auto"/>
        <w:ind w:firstLine="480"/>
      </w:pPr>
      <w:r>
        <w:rPr>
          <w:rFonts w:ascii="Times New Roman" w:hAnsi="Times New Roman" w:eastAsia="宋体"/>
          <w:b w:val="0"/>
          <w:sz w:val="24"/>
        </w:rPr>
        <w:t>(a)</w:t>
      </w:r>
    </w:p>
    <w:p>
      <w:pPr>
        <w:spacing w:line="360" w:lineRule="auto"/>
        <w:ind w:firstLine="480"/>
      </w:pPr>
      <w:r>
        <w:rPr>
          <w:rFonts w:ascii="Times New Roman" w:hAnsi="Times New Roman" w:eastAsia="宋体"/>
          <w:b w:val="0"/>
          <w:sz w:val="24"/>
        </w:rPr>
        <w:t>the wearing of suitable protective equipment (including personal protective equipment, see</w:t>
      </w:r>
    </w:p>
    <w:p>
      <w:pPr>
        <w:spacing w:line="360" w:lineRule="auto"/>
        <w:ind w:firstLine="480"/>
      </w:pPr>
      <w:r>
        <w:rPr>
          <w:rFonts w:ascii="Times New Roman" w:hAnsi="Times New Roman" w:eastAsia="宋体"/>
          <w:b w:val="0"/>
          <w:sz w:val="24"/>
        </w:rPr>
        <w:t>section 8 of the SDS) to prevent any contamination of skin, eyes and personal clothing;</w:t>
      </w:r>
    </w:p>
    <w:p>
      <w:pPr>
        <w:spacing w:line="360" w:lineRule="auto"/>
        <w:ind w:firstLine="480"/>
      </w:pPr>
      <w:r>
        <w:rPr>
          <w:rFonts w:ascii="Times New Roman" w:hAnsi="Times New Roman" w:eastAsia="宋体"/>
          <w:b w:val="0"/>
          <w:sz w:val="24"/>
        </w:rPr>
        <w:t>(b)</w:t>
      </w:r>
    </w:p>
    <w:p>
      <w:pPr>
        <w:spacing w:line="360" w:lineRule="auto"/>
        <w:ind w:firstLine="480"/>
      </w:pPr>
      <w:r>
        <w:rPr>
          <w:rFonts w:ascii="Times New Roman" w:hAnsi="Times New Roman" w:eastAsia="宋体"/>
          <w:b w:val="0"/>
          <w:sz w:val="24"/>
        </w:rPr>
        <w:t>removal of ignition sources and provision of sufficient ventilation; and</w:t>
      </w:r>
    </w:p>
    <w:p>
      <w:pPr>
        <w:spacing w:line="360" w:lineRule="auto"/>
        <w:ind w:firstLine="480"/>
      </w:pPr>
      <w:r>
        <w:rPr>
          <w:rFonts w:ascii="Times New Roman" w:hAnsi="Times New Roman" w:eastAsia="宋体"/>
          <w:b w:val="0"/>
          <w:sz w:val="24"/>
        </w:rPr>
        <w:t>(c)</w:t>
      </w:r>
    </w:p>
    <w:p>
      <w:pPr>
        <w:spacing w:line="360" w:lineRule="auto"/>
        <w:ind w:firstLine="480"/>
      </w:pPr>
      <w:r>
        <w:rPr>
          <w:rFonts w:ascii="Times New Roman" w:hAnsi="Times New Roman" w:eastAsia="宋体"/>
          <w:b w:val="0"/>
          <w:sz w:val="24"/>
        </w:rPr>
        <w:t>emergency procedures such as the necessity to evacuate the danger area or to consult an expert.</w:t>
      </w:r>
    </w:p>
    <w:p>
      <w:pPr>
        <w:spacing w:line="360" w:lineRule="auto"/>
        <w:ind w:firstLine="480"/>
      </w:pPr>
      <w:r>
        <w:rPr>
          <w:rFonts w:ascii="Times New Roman" w:hAnsi="Times New Roman" w:eastAsia="宋体"/>
          <w:b w:val="0"/>
          <w:sz w:val="24"/>
        </w:rPr>
        <w:t>A4.3.6.1.2</w:t>
      </w:r>
    </w:p>
    <w:p>
      <w:pPr>
        <w:spacing w:line="360" w:lineRule="auto"/>
        <w:ind w:firstLine="480"/>
      </w:pPr>
      <w:r>
        <w:rPr>
          <w:rFonts w:ascii="Times New Roman" w:hAnsi="Times New Roman" w:eastAsia="宋体"/>
          <w:b w:val="0"/>
          <w:sz w:val="24"/>
        </w:rPr>
        <w:t>For emergency responders</w:t>
      </w:r>
    </w:p>
    <w:p>
      <w:pPr>
        <w:spacing w:line="360" w:lineRule="auto"/>
        <w:ind w:firstLine="480"/>
      </w:pPr>
      <w:r>
        <w:rPr>
          <w:rFonts w:ascii="Times New Roman" w:hAnsi="Times New Roman" w:eastAsia="宋体"/>
          <w:b w:val="0"/>
          <w:sz w:val="24"/>
        </w:rPr>
        <w:t>Provide advice related to suitable fabric for personal protective clothing (e.g.: “appropriate: Butylene;</w:t>
      </w:r>
    </w:p>
    <w:p>
      <w:pPr>
        <w:spacing w:line="360" w:lineRule="auto"/>
        <w:ind w:firstLine="480"/>
      </w:pPr>
      <w:r>
        <w:rPr>
          <w:rFonts w:ascii="Times New Roman" w:hAnsi="Times New Roman" w:eastAsia="宋体"/>
          <w:b w:val="0"/>
          <w:sz w:val="24"/>
        </w:rPr>
        <w:t>not appropriate: PVC).</w:t>
      </w:r>
    </w:p>
    <w:p>
      <w:pPr>
        <w:spacing w:line="360" w:lineRule="auto"/>
        <w:ind w:firstLine="480"/>
      </w:pPr>
      <w:r>
        <w:rPr>
          <w:rFonts w:ascii="Times New Roman" w:hAnsi="Times New Roman" w:eastAsia="宋体"/>
          <w:b w:val="0"/>
          <w:sz w:val="24"/>
        </w:rPr>
        <w:t>A4.3.6.2</w:t>
      </w:r>
    </w:p>
    <w:p>
      <w:pPr>
        <w:spacing w:line="360" w:lineRule="auto"/>
        <w:ind w:firstLine="480"/>
      </w:pPr>
      <w:r>
        <w:rPr>
          <w:rFonts w:ascii="Times New Roman" w:hAnsi="Times New Roman" w:eastAsia="宋体"/>
          <w:b w:val="0"/>
          <w:sz w:val="24"/>
        </w:rPr>
        <w:t>Environmental precautions</w:t>
      </w:r>
    </w:p>
    <w:p>
      <w:pPr>
        <w:spacing w:line="360" w:lineRule="auto"/>
        <w:ind w:firstLine="480"/>
      </w:pPr>
      <w:r>
        <w:rPr>
          <w:rFonts w:ascii="Times New Roman" w:hAnsi="Times New Roman" w:eastAsia="宋体"/>
          <w:b w:val="0"/>
          <w:sz w:val="24"/>
        </w:rPr>
        <w:t>Provide advice on any environmental precautions related to accidental spills and release of the substance</w:t>
      </w:r>
    </w:p>
    <w:p>
      <w:pPr>
        <w:spacing w:line="360" w:lineRule="auto"/>
        <w:ind w:firstLine="480"/>
      </w:pPr>
      <w:r>
        <w:rPr>
          <w:rFonts w:ascii="Times New Roman" w:hAnsi="Times New Roman" w:eastAsia="宋体"/>
          <w:b w:val="0"/>
          <w:sz w:val="24"/>
        </w:rPr>
        <w:t>or mixture, such as keeping away from drains, surface and ground water.</w:t>
      </w:r>
    </w:p>
    <w:p>
      <w:pPr>
        <w:spacing w:line="360" w:lineRule="auto"/>
        <w:ind w:firstLine="480"/>
      </w:pPr>
      <w:r>
        <w:rPr>
          <w:rFonts w:ascii="Times New Roman" w:hAnsi="Times New Roman" w:eastAsia="宋体"/>
          <w:b w:val="0"/>
          <w:sz w:val="24"/>
        </w:rPr>
        <w:t>A4.3.6.3</w:t>
      </w:r>
    </w:p>
    <w:p>
      <w:pPr>
        <w:spacing w:line="360" w:lineRule="auto"/>
        <w:ind w:firstLine="480"/>
      </w:pPr>
      <w:r>
        <w:rPr>
          <w:rFonts w:ascii="Times New Roman" w:hAnsi="Times New Roman" w:eastAsia="宋体"/>
          <w:b w:val="0"/>
          <w:sz w:val="24"/>
        </w:rPr>
        <w:t>Methods and materials for containment and cleaning up</w:t>
      </w:r>
    </w:p>
    <w:p>
      <w:pPr>
        <w:spacing w:line="360" w:lineRule="auto"/>
        <w:ind w:firstLine="480"/>
      </w:pPr>
      <w:r>
        <w:rPr>
          <w:rFonts w:ascii="Times New Roman" w:hAnsi="Times New Roman" w:eastAsia="宋体"/>
          <w:b w:val="0"/>
          <w:sz w:val="24"/>
        </w:rPr>
        <w:t>A4.3.6.3.1</w:t>
      </w:r>
    </w:p>
    <w:p>
      <w:pPr>
        <w:spacing w:line="360" w:lineRule="auto"/>
        <w:ind w:firstLine="480"/>
      </w:pPr>
      <w:r>
        <w:rPr>
          <w:rFonts w:ascii="Times New Roman" w:hAnsi="Times New Roman" w:eastAsia="宋体"/>
          <w:b w:val="0"/>
          <w:sz w:val="24"/>
        </w:rPr>
        <w:t>Provide appropriate advice on how to contain and clean up a spill. Appropriate containment techniques</w:t>
      </w:r>
    </w:p>
    <w:p>
      <w:pPr>
        <w:spacing w:line="360" w:lineRule="auto"/>
        <w:ind w:firstLine="480"/>
      </w:pPr>
      <w:r>
        <w:rPr>
          <w:rFonts w:ascii="Times New Roman" w:hAnsi="Times New Roman" w:eastAsia="宋体"/>
          <w:b w:val="0"/>
          <w:sz w:val="24"/>
        </w:rPr>
        <w:t>may include:</w:t>
      </w:r>
    </w:p>
    <w:p>
      <w:pPr>
        <w:spacing w:line="360" w:lineRule="auto"/>
        <w:ind w:firstLine="480"/>
      </w:pPr>
      <w:r>
        <w:rPr>
          <w:rFonts w:ascii="Times New Roman" w:hAnsi="Times New Roman" w:eastAsia="宋体"/>
          <w:b w:val="0"/>
          <w:sz w:val="24"/>
        </w:rPr>
        <w:t>(a)</w:t>
      </w:r>
    </w:p>
    <w:p>
      <w:pPr>
        <w:spacing w:line="360" w:lineRule="auto"/>
        <w:ind w:firstLine="480"/>
      </w:pPr>
      <w:r>
        <w:rPr>
          <w:rFonts w:ascii="Times New Roman" w:hAnsi="Times New Roman" w:eastAsia="宋体"/>
          <w:b w:val="0"/>
          <w:sz w:val="24"/>
        </w:rPr>
        <w:t>bunding2, covering of drains; and</w:t>
      </w:r>
    </w:p>
    <w:p>
      <w:pPr>
        <w:spacing w:line="360" w:lineRule="auto"/>
        <w:ind w:firstLine="480"/>
      </w:pPr>
      <w:r>
        <w:rPr>
          <w:rFonts w:ascii="Times New Roman" w:hAnsi="Times New Roman" w:eastAsia="宋体"/>
          <w:b w:val="0"/>
          <w:sz w:val="24"/>
        </w:rPr>
        <w:t>(b)</w:t>
      </w:r>
    </w:p>
    <w:p>
      <w:pPr>
        <w:spacing w:line="360" w:lineRule="auto"/>
        <w:ind w:firstLine="480"/>
      </w:pPr>
      <w:r>
        <w:rPr>
          <w:rFonts w:ascii="Times New Roman" w:hAnsi="Times New Roman" w:eastAsia="宋体"/>
          <w:b w:val="0"/>
          <w:sz w:val="24"/>
        </w:rPr>
        <w:t>capping procedures3.</w:t>
      </w:r>
    </w:p>
    <w:p>
      <w:pPr>
        <w:spacing w:line="360" w:lineRule="auto"/>
        <w:ind w:firstLine="480"/>
      </w:pPr>
      <w:r>
        <w:rPr>
          <w:rFonts w:ascii="Times New Roman" w:hAnsi="Times New Roman" w:eastAsia="宋体"/>
          <w:b w:val="0"/>
          <w:sz w:val="24"/>
        </w:rPr>
        <w:t>A4.3.6.3.2</w:t>
      </w:r>
    </w:p>
    <w:p>
      <w:pPr>
        <w:spacing w:line="360" w:lineRule="auto"/>
        <w:ind w:firstLine="480"/>
      </w:pPr>
      <w:r>
        <w:rPr>
          <w:rFonts w:ascii="Times New Roman" w:hAnsi="Times New Roman" w:eastAsia="宋体"/>
          <w:b w:val="0"/>
          <w:sz w:val="24"/>
        </w:rPr>
        <w:t>Appropriate clean up procedures may include:</w:t>
      </w:r>
    </w:p>
    <w:p>
      <w:pPr>
        <w:spacing w:line="360" w:lineRule="auto"/>
        <w:ind w:firstLine="480"/>
      </w:pPr>
      <w:r>
        <w:rPr>
          <w:rFonts w:ascii="Times New Roman" w:hAnsi="Times New Roman" w:eastAsia="宋体"/>
          <w:b w:val="0"/>
          <w:sz w:val="24"/>
        </w:rPr>
        <w:t>(a)</w:t>
      </w:r>
    </w:p>
    <w:p>
      <w:pPr>
        <w:spacing w:line="360" w:lineRule="auto"/>
        <w:ind w:firstLine="480"/>
      </w:pPr>
      <w:r>
        <w:rPr>
          <w:rFonts w:ascii="Times New Roman" w:hAnsi="Times New Roman" w:eastAsia="宋体"/>
          <w:b w:val="0"/>
          <w:sz w:val="24"/>
        </w:rPr>
        <w:t>neutralization techniques;</w:t>
      </w:r>
    </w:p>
    <w:p>
      <w:pPr>
        <w:spacing w:line="360" w:lineRule="auto"/>
        <w:ind w:firstLine="480"/>
      </w:pPr>
      <w:r>
        <w:rPr>
          <w:rFonts w:ascii="Times New Roman" w:hAnsi="Times New Roman" w:eastAsia="宋体"/>
          <w:b w:val="0"/>
          <w:sz w:val="24"/>
        </w:rPr>
        <w:t>(b)</w:t>
      </w:r>
    </w:p>
    <w:p>
      <w:pPr>
        <w:spacing w:line="360" w:lineRule="auto"/>
        <w:ind w:firstLine="480"/>
      </w:pPr>
      <w:r>
        <w:rPr>
          <w:rFonts w:ascii="Times New Roman" w:hAnsi="Times New Roman" w:eastAsia="宋体"/>
          <w:b w:val="0"/>
          <w:sz w:val="24"/>
        </w:rPr>
        <w:t>decontamination techniques;</w:t>
      </w:r>
    </w:p>
    <w:p>
      <w:pPr>
        <w:spacing w:line="360" w:lineRule="auto"/>
        <w:ind w:firstLine="480"/>
      </w:pPr>
      <w:r>
        <w:rPr>
          <w:rFonts w:ascii="Times New Roman" w:hAnsi="Times New Roman" w:eastAsia="宋体"/>
          <w:b w:val="0"/>
          <w:sz w:val="24"/>
        </w:rPr>
        <w:t>(c)</w:t>
      </w:r>
    </w:p>
    <w:p>
      <w:pPr>
        <w:spacing w:line="360" w:lineRule="auto"/>
        <w:ind w:firstLine="480"/>
      </w:pPr>
      <w:r>
        <w:rPr>
          <w:rFonts w:ascii="Times New Roman" w:hAnsi="Times New Roman" w:eastAsia="宋体"/>
          <w:b w:val="0"/>
          <w:sz w:val="24"/>
        </w:rPr>
        <w:t>adsorbent materials;</w:t>
      </w:r>
    </w:p>
    <w:p>
      <w:pPr>
        <w:spacing w:line="360" w:lineRule="auto"/>
        <w:ind w:firstLine="480"/>
      </w:pPr>
      <w:r>
        <w:rPr>
          <w:rFonts w:ascii="Times New Roman" w:hAnsi="Times New Roman" w:eastAsia="宋体"/>
          <w:b w:val="0"/>
          <w:sz w:val="24"/>
        </w:rPr>
        <w:t>(d)</w:t>
      </w:r>
    </w:p>
    <w:p>
      <w:pPr>
        <w:spacing w:line="360" w:lineRule="auto"/>
        <w:ind w:firstLine="480"/>
      </w:pPr>
      <w:r>
        <w:rPr>
          <w:rFonts w:ascii="Times New Roman" w:hAnsi="Times New Roman" w:eastAsia="宋体"/>
          <w:b w:val="0"/>
          <w:sz w:val="24"/>
        </w:rPr>
        <w:t>cleaning techniques;</w:t>
      </w:r>
    </w:p>
    <w:p>
      <w:pPr>
        <w:spacing w:line="360" w:lineRule="auto"/>
        <w:ind w:firstLine="480"/>
      </w:pPr>
      <w:r>
        <w:rPr>
          <w:rFonts w:ascii="Times New Roman" w:hAnsi="Times New Roman" w:eastAsia="宋体"/>
          <w:b w:val="0"/>
          <w:sz w:val="24"/>
        </w:rPr>
        <w:t>2 A bund is a provision of liquid collection facilities which, in the event of any leak or spillage from tanks or pipe work,</w:t>
      </w:r>
    </w:p>
    <w:p>
      <w:pPr>
        <w:spacing w:line="360" w:lineRule="auto"/>
        <w:ind w:firstLine="480"/>
      </w:pPr>
      <w:r>
        <w:rPr>
          <w:rFonts w:ascii="Times New Roman" w:hAnsi="Times New Roman" w:eastAsia="宋体"/>
          <w:b w:val="0"/>
          <w:sz w:val="24"/>
        </w:rPr>
        <w:t>will capture well in excess of the volume of liquids held, e.g. an embankment. Bunded areas should drain to a capture</w:t>
      </w:r>
    </w:p>
    <w:p>
      <w:pPr>
        <w:spacing w:line="360" w:lineRule="auto"/>
        <w:ind w:firstLine="480"/>
      </w:pPr>
      <w:r>
        <w:rPr>
          <w:rFonts w:ascii="Times New Roman" w:hAnsi="Times New Roman" w:eastAsia="宋体"/>
          <w:b w:val="0"/>
          <w:sz w:val="24"/>
        </w:rPr>
        <w:t>tank which should have facilities for water/oil separation.</w:t>
      </w:r>
    </w:p>
    <w:p>
      <w:pPr>
        <w:spacing w:line="360" w:lineRule="auto"/>
        <w:ind w:firstLine="480"/>
      </w:pPr>
      <w:r>
        <w:rPr>
          <w:rFonts w:ascii="Times New Roman" w:hAnsi="Times New Roman" w:eastAsia="宋体"/>
          <w:b w:val="0"/>
          <w:sz w:val="24"/>
        </w:rPr>
        <w:t>3 i.e. providing a cover or protection (e.g. to prevent damage or spillage).</w:t>
      </w:r>
    </w:p>
    <w:p>
      <w:pPr>
        <w:spacing w:line="360" w:lineRule="auto"/>
        <w:ind w:firstLine="480"/>
      </w:pPr>
      <w:r>
        <w:rPr>
          <w:rFonts w:ascii="Times New Roman" w:hAnsi="Times New Roman" w:eastAsia="宋体"/>
          <w:b w:val="0"/>
          <w:sz w:val="24"/>
        </w:rPr>
        <w:t>- 415 -</w:t>
      </w:r>
    </w:p>
    <w:p>
      <w:pPr>
        <w:spacing w:line="360" w:lineRule="auto"/>
        <w:ind w:firstLine="480"/>
      </w:pPr>
      <w:r>
        <w:rPr>
          <w:rFonts w:ascii="Times New Roman" w:hAnsi="Times New Roman" w:eastAsia="宋体"/>
          <w:b w:val="0"/>
          <w:sz w:val="24"/>
        </w:rPr>
        <w:t>(e)</w:t>
      </w:r>
    </w:p>
    <w:p>
      <w:pPr>
        <w:spacing w:line="360" w:lineRule="auto"/>
        <w:ind w:firstLine="480"/>
      </w:pPr>
      <w:r>
        <w:rPr>
          <w:rFonts w:ascii="Times New Roman" w:hAnsi="Times New Roman" w:eastAsia="宋体"/>
          <w:b w:val="0"/>
          <w:sz w:val="24"/>
        </w:rPr>
        <w:t>vacuuming techniques; and</w:t>
      </w:r>
    </w:p>
    <w:p>
      <w:pPr>
        <w:spacing w:line="360" w:lineRule="auto"/>
        <w:ind w:firstLine="480"/>
      </w:pPr>
      <w:r>
        <w:rPr>
          <w:rFonts w:ascii="Times New Roman" w:hAnsi="Times New Roman" w:eastAsia="宋体"/>
          <w:b w:val="0"/>
          <w:sz w:val="24"/>
        </w:rPr>
        <w:t>(f)</w:t>
      </w:r>
    </w:p>
    <w:p>
      <w:pPr>
        <w:spacing w:line="360" w:lineRule="auto"/>
        <w:ind w:firstLine="480"/>
      </w:pPr>
      <w:r>
        <w:rPr>
          <w:rFonts w:ascii="Times New Roman" w:hAnsi="Times New Roman" w:eastAsia="宋体"/>
          <w:b w:val="0"/>
          <w:sz w:val="24"/>
        </w:rPr>
        <w:t>equipment required for containment/clean up (include the use of non-sparking tools and</w:t>
      </w:r>
    </w:p>
    <w:p>
      <w:pPr>
        <w:spacing w:line="360" w:lineRule="auto"/>
        <w:ind w:firstLine="480"/>
      </w:pPr>
      <w:r>
        <w:rPr>
          <w:rFonts w:ascii="Times New Roman" w:hAnsi="Times New Roman" w:eastAsia="宋体"/>
          <w:b w:val="0"/>
          <w:sz w:val="24"/>
        </w:rPr>
        <w:t>equipment where applicable).</w:t>
      </w:r>
    </w:p>
    <w:p>
      <w:pPr>
        <w:spacing w:line="360" w:lineRule="auto"/>
        <w:ind w:firstLine="480"/>
      </w:pPr>
      <w:r>
        <w:rPr>
          <w:rFonts w:ascii="Times New Roman" w:hAnsi="Times New Roman" w:eastAsia="宋体"/>
          <w:b w:val="0"/>
          <w:sz w:val="24"/>
        </w:rPr>
        <w:t>A4.3.6.3.3</w:t>
      </w:r>
    </w:p>
    <w:p>
      <w:pPr>
        <w:spacing w:line="360" w:lineRule="auto"/>
        <w:ind w:firstLine="480"/>
      </w:pPr>
      <w:r>
        <w:rPr>
          <w:rFonts w:ascii="Times New Roman" w:hAnsi="Times New Roman" w:eastAsia="宋体"/>
          <w:b w:val="0"/>
          <w:sz w:val="24"/>
        </w:rPr>
        <w:t>Provide any other issues relating to spills and releases. For example, including advice on inappropriate</w:t>
      </w:r>
    </w:p>
    <w:p>
      <w:pPr>
        <w:spacing w:line="360" w:lineRule="auto"/>
        <w:ind w:firstLine="480"/>
      </w:pPr>
      <w:r>
        <w:rPr>
          <w:rFonts w:ascii="Times New Roman" w:hAnsi="Times New Roman" w:eastAsia="宋体"/>
          <w:b w:val="0"/>
          <w:sz w:val="24"/>
        </w:rPr>
        <w:t>containment or clean up techniques.</w:t>
      </w:r>
    </w:p>
    <w:p>
      <w:pPr>
        <w:spacing w:line="360" w:lineRule="auto"/>
        <w:ind w:firstLine="480"/>
      </w:pPr>
      <w:r>
        <w:rPr>
          <w:rFonts w:ascii="Times New Roman" w:hAnsi="Times New Roman" w:eastAsia="宋体"/>
          <w:b w:val="0"/>
          <w:sz w:val="24"/>
        </w:rPr>
        <w:t>A4.3.7</w:t>
      </w:r>
    </w:p>
    <w:p>
      <w:pPr>
        <w:spacing w:line="360" w:lineRule="auto"/>
        <w:ind w:firstLine="480"/>
      </w:pPr>
      <w:r>
        <w:rPr>
          <w:rFonts w:ascii="Times New Roman" w:hAnsi="Times New Roman" w:eastAsia="宋体"/>
          <w:b w:val="0"/>
          <w:sz w:val="24"/>
        </w:rPr>
        <w:t>SECTION 7: Handling and storage</w:t>
      </w:r>
    </w:p>
    <w:p>
      <w:pPr>
        <w:spacing w:line="360" w:lineRule="auto"/>
        <w:ind w:firstLine="480"/>
      </w:pPr>
      <w:r>
        <w:rPr>
          <w:rFonts w:ascii="Times New Roman" w:hAnsi="Times New Roman" w:eastAsia="宋体"/>
          <w:b w:val="0"/>
          <w:sz w:val="24"/>
        </w:rPr>
        <w:t>This section provides guidance on safe handling practices that minimize the potential hazards to people,</w:t>
      </w:r>
    </w:p>
    <w:p>
      <w:pPr>
        <w:spacing w:line="360" w:lineRule="auto"/>
        <w:ind w:firstLine="480"/>
      </w:pPr>
      <w:r>
        <w:rPr>
          <w:rFonts w:ascii="Times New Roman" w:hAnsi="Times New Roman" w:eastAsia="宋体"/>
          <w:b w:val="0"/>
          <w:sz w:val="24"/>
        </w:rPr>
        <w:t>property and the environment from the substance or mixture. Emphasize precautions that are appropriate to the intended</w:t>
      </w:r>
    </w:p>
    <w:p>
      <w:pPr>
        <w:spacing w:line="360" w:lineRule="auto"/>
        <w:ind w:firstLine="480"/>
      </w:pPr>
      <w:r>
        <w:rPr>
          <w:rFonts w:ascii="Times New Roman" w:hAnsi="Times New Roman" w:eastAsia="宋体"/>
          <w:b w:val="0"/>
          <w:sz w:val="24"/>
        </w:rPr>
        <w:t>use and to the unique properties of the substance or mixture.</w:t>
      </w:r>
    </w:p>
    <w:p>
      <w:pPr>
        <w:spacing w:line="360" w:lineRule="auto"/>
        <w:ind w:firstLine="480"/>
      </w:pPr>
      <w:r>
        <w:rPr>
          <w:rFonts w:ascii="Times New Roman" w:hAnsi="Times New Roman" w:eastAsia="宋体"/>
          <w:b w:val="0"/>
          <w:sz w:val="24"/>
        </w:rPr>
        <w:t>A4.3.7.1</w:t>
      </w:r>
    </w:p>
    <w:p>
      <w:pPr>
        <w:spacing w:line="360" w:lineRule="auto"/>
        <w:ind w:firstLine="480"/>
      </w:pPr>
      <w:r>
        <w:rPr>
          <w:rFonts w:ascii="Times New Roman" w:hAnsi="Times New Roman" w:eastAsia="宋体"/>
          <w:b w:val="0"/>
          <w:sz w:val="24"/>
        </w:rPr>
        <w:t>Precautions for safe handling</w:t>
      </w:r>
    </w:p>
    <w:p>
      <w:pPr>
        <w:spacing w:line="360" w:lineRule="auto"/>
        <w:ind w:firstLine="480"/>
      </w:pPr>
      <w:r>
        <w:rPr>
          <w:rFonts w:ascii="Times New Roman" w:hAnsi="Times New Roman" w:eastAsia="宋体"/>
          <w:b w:val="0"/>
          <w:sz w:val="24"/>
        </w:rPr>
        <w:t>A4.3.7.1.1</w:t>
      </w:r>
    </w:p>
    <w:p>
      <w:pPr>
        <w:spacing w:line="360" w:lineRule="auto"/>
        <w:ind w:firstLine="480"/>
      </w:pPr>
      <w:r>
        <w:rPr>
          <w:rFonts w:ascii="Times New Roman" w:hAnsi="Times New Roman" w:eastAsia="宋体"/>
          <w:b w:val="0"/>
          <w:sz w:val="24"/>
        </w:rPr>
        <w:t>Provide advice that:</w:t>
      </w:r>
    </w:p>
    <w:p>
      <w:pPr>
        <w:spacing w:line="360" w:lineRule="auto"/>
        <w:ind w:firstLine="480"/>
      </w:pPr>
      <w:r>
        <w:rPr>
          <w:rFonts w:ascii="Times New Roman" w:hAnsi="Times New Roman" w:eastAsia="宋体"/>
          <w:b w:val="0"/>
          <w:sz w:val="24"/>
        </w:rPr>
        <w:t>(a)</w:t>
      </w:r>
    </w:p>
    <w:p>
      <w:pPr>
        <w:spacing w:line="360" w:lineRule="auto"/>
        <w:ind w:firstLine="480"/>
      </w:pPr>
      <w:r>
        <w:rPr>
          <w:rFonts w:ascii="Times New Roman" w:hAnsi="Times New Roman" w:eastAsia="宋体"/>
          <w:b w:val="0"/>
          <w:sz w:val="24"/>
        </w:rPr>
        <w:t>allows safe handling of the substance or mixture;</w:t>
      </w:r>
    </w:p>
    <w:p>
      <w:pPr>
        <w:spacing w:line="360" w:lineRule="auto"/>
        <w:ind w:firstLine="480"/>
      </w:pPr>
      <w:r>
        <w:rPr>
          <w:rFonts w:ascii="Times New Roman" w:hAnsi="Times New Roman" w:eastAsia="宋体"/>
          <w:b w:val="0"/>
          <w:sz w:val="24"/>
        </w:rPr>
        <w:t>(b)</w:t>
      </w:r>
    </w:p>
    <w:p>
      <w:pPr>
        <w:spacing w:line="360" w:lineRule="auto"/>
        <w:ind w:firstLine="480"/>
      </w:pPr>
      <w:r>
        <w:rPr>
          <w:rFonts w:ascii="Times New Roman" w:hAnsi="Times New Roman" w:eastAsia="宋体"/>
          <w:b w:val="0"/>
          <w:sz w:val="24"/>
        </w:rPr>
        <w:t>prevents handling of incompatible substances or mixtures;</w:t>
      </w:r>
    </w:p>
    <w:p>
      <w:pPr>
        <w:spacing w:line="360" w:lineRule="auto"/>
        <w:ind w:firstLine="480"/>
      </w:pPr>
      <w:r>
        <w:rPr>
          <w:rFonts w:ascii="Times New Roman" w:hAnsi="Times New Roman" w:eastAsia="宋体"/>
          <w:b w:val="0"/>
          <w:sz w:val="24"/>
        </w:rPr>
        <w:t>(c)</w:t>
      </w:r>
    </w:p>
    <w:p>
      <w:pPr>
        <w:spacing w:line="360" w:lineRule="auto"/>
        <w:ind w:firstLine="480"/>
      </w:pPr>
      <w:r>
        <w:rPr>
          <w:rFonts w:ascii="Times New Roman" w:hAnsi="Times New Roman" w:eastAsia="宋体"/>
          <w:b w:val="0"/>
          <w:sz w:val="24"/>
        </w:rPr>
        <w:t>draws attention to operations and conditions which create new risks by altering the properties of</w:t>
      </w:r>
    </w:p>
    <w:p>
      <w:pPr>
        <w:spacing w:line="360" w:lineRule="auto"/>
        <w:ind w:firstLine="480"/>
      </w:pPr>
      <w:r>
        <w:rPr>
          <w:rFonts w:ascii="Times New Roman" w:hAnsi="Times New Roman" w:eastAsia="宋体"/>
          <w:b w:val="0"/>
          <w:sz w:val="24"/>
        </w:rPr>
        <w:t>the substance or mixture, and to appropriate countermeasures; and</w:t>
      </w:r>
    </w:p>
    <w:p>
      <w:pPr>
        <w:spacing w:line="360" w:lineRule="auto"/>
        <w:ind w:firstLine="480"/>
      </w:pPr>
      <w:r>
        <w:rPr>
          <w:rFonts w:ascii="Times New Roman" w:hAnsi="Times New Roman" w:eastAsia="宋体"/>
          <w:b w:val="0"/>
          <w:sz w:val="24"/>
        </w:rPr>
        <w:t>(d)</w:t>
      </w:r>
    </w:p>
    <w:p>
      <w:pPr>
        <w:spacing w:line="360" w:lineRule="auto"/>
        <w:ind w:firstLine="480"/>
      </w:pPr>
      <w:r>
        <w:rPr>
          <w:rFonts w:ascii="Times New Roman" w:hAnsi="Times New Roman" w:eastAsia="宋体"/>
          <w:b w:val="0"/>
          <w:sz w:val="24"/>
        </w:rPr>
        <w:t>minimizes the release of the substance or mixture to the environment.</w:t>
      </w:r>
    </w:p>
    <w:p>
      <w:pPr>
        <w:spacing w:line="360" w:lineRule="auto"/>
        <w:ind w:firstLine="480"/>
      </w:pPr>
      <w:r>
        <w:rPr>
          <w:rFonts w:ascii="Times New Roman" w:hAnsi="Times New Roman" w:eastAsia="宋体"/>
          <w:b w:val="0"/>
          <w:sz w:val="24"/>
        </w:rPr>
        <w:t>A4.3.7.1.2</w:t>
      </w:r>
    </w:p>
    <w:p>
      <w:pPr>
        <w:spacing w:line="360" w:lineRule="auto"/>
        <w:ind w:firstLine="480"/>
      </w:pPr>
      <w:r>
        <w:rPr>
          <w:rFonts w:ascii="Times New Roman" w:hAnsi="Times New Roman" w:eastAsia="宋体"/>
          <w:b w:val="0"/>
          <w:sz w:val="24"/>
        </w:rPr>
        <w:t>It is good practice to provide advice on general hygiene. For example:</w:t>
      </w:r>
    </w:p>
    <w:p>
      <w:pPr>
        <w:spacing w:line="360" w:lineRule="auto"/>
        <w:ind w:firstLine="480"/>
      </w:pPr>
      <w:r>
        <w:rPr>
          <w:rFonts w:ascii="Times New Roman" w:hAnsi="Times New Roman" w:eastAsia="宋体"/>
          <w:b w:val="0"/>
          <w:sz w:val="24"/>
        </w:rPr>
        <w:t>(a)</w:t>
      </w:r>
    </w:p>
    <w:p>
      <w:pPr>
        <w:spacing w:line="360" w:lineRule="auto"/>
        <w:ind w:firstLine="480"/>
      </w:pPr>
      <w:r>
        <w:rPr>
          <w:rFonts w:ascii="Times New Roman" w:hAnsi="Times New Roman" w:eastAsia="宋体"/>
          <w:b w:val="0"/>
          <w:sz w:val="24"/>
        </w:rPr>
        <w:t>“eating, drinking and smoking in work areas is prohibited”;</w:t>
      </w:r>
    </w:p>
    <w:p>
      <w:pPr>
        <w:spacing w:line="360" w:lineRule="auto"/>
        <w:ind w:firstLine="480"/>
      </w:pPr>
      <w:r>
        <w:rPr>
          <w:rFonts w:ascii="Times New Roman" w:hAnsi="Times New Roman" w:eastAsia="宋体"/>
          <w:b w:val="0"/>
          <w:sz w:val="24"/>
        </w:rPr>
        <w:t>(b)</w:t>
      </w:r>
    </w:p>
    <w:p>
      <w:pPr>
        <w:spacing w:line="360" w:lineRule="auto"/>
        <w:ind w:firstLine="480"/>
      </w:pPr>
      <w:r>
        <w:rPr>
          <w:rFonts w:ascii="Times New Roman" w:hAnsi="Times New Roman" w:eastAsia="宋体"/>
          <w:b w:val="0"/>
          <w:sz w:val="24"/>
        </w:rPr>
        <w:t>“wash hands after use”; and</w:t>
      </w:r>
    </w:p>
    <w:p>
      <w:pPr>
        <w:spacing w:line="360" w:lineRule="auto"/>
        <w:ind w:firstLine="480"/>
      </w:pPr>
      <w:r>
        <w:rPr>
          <w:rFonts w:ascii="Times New Roman" w:hAnsi="Times New Roman" w:eastAsia="宋体"/>
          <w:b w:val="0"/>
          <w:sz w:val="24"/>
        </w:rPr>
        <w:t>(c)</w:t>
      </w:r>
    </w:p>
    <w:p>
      <w:pPr>
        <w:spacing w:line="360" w:lineRule="auto"/>
        <w:ind w:firstLine="480"/>
      </w:pPr>
      <w:r>
        <w:rPr>
          <w:rFonts w:ascii="Times New Roman" w:hAnsi="Times New Roman" w:eastAsia="宋体"/>
          <w:b w:val="0"/>
          <w:sz w:val="24"/>
        </w:rPr>
        <w:t>“remove contaminated clothing and protective equipment before entering eating areas”.</w:t>
      </w:r>
    </w:p>
    <w:p>
      <w:pPr>
        <w:spacing w:line="360" w:lineRule="auto"/>
        <w:ind w:firstLine="480"/>
      </w:pPr>
      <w:r>
        <w:rPr>
          <w:rFonts w:ascii="Times New Roman" w:hAnsi="Times New Roman" w:eastAsia="宋体"/>
          <w:b w:val="0"/>
          <w:sz w:val="24"/>
        </w:rPr>
        <w:t>A4.3.7.2</w:t>
      </w:r>
    </w:p>
    <w:p>
      <w:pPr>
        <w:spacing w:line="360" w:lineRule="auto"/>
        <w:ind w:firstLine="480"/>
      </w:pPr>
      <w:r>
        <w:rPr>
          <w:rFonts w:ascii="Times New Roman" w:hAnsi="Times New Roman" w:eastAsia="宋体"/>
          <w:b w:val="0"/>
          <w:sz w:val="24"/>
        </w:rPr>
        <w:t>Conditions for safe storage, including any incompatibilities</w:t>
      </w:r>
    </w:p>
    <w:p>
      <w:pPr>
        <w:spacing w:line="360" w:lineRule="auto"/>
        <w:ind w:firstLine="480"/>
      </w:pPr>
      <w:r>
        <w:rPr>
          <w:rFonts w:ascii="Times New Roman" w:hAnsi="Times New Roman" w:eastAsia="宋体"/>
          <w:b w:val="0"/>
          <w:sz w:val="24"/>
        </w:rPr>
        <w:t>Ensure that the advice provided is consistent with the physical and chemical properties in section 9</w:t>
      </w:r>
    </w:p>
    <w:p>
      <w:pPr>
        <w:spacing w:line="360" w:lineRule="auto"/>
        <w:ind w:firstLine="480"/>
      </w:pPr>
      <w:r>
        <w:rPr>
          <w:rFonts w:ascii="Times New Roman" w:hAnsi="Times New Roman" w:eastAsia="宋体"/>
          <w:b w:val="0"/>
          <w:sz w:val="24"/>
        </w:rPr>
        <w:t>(Physical and chemical properties) of the SDS. If relevant, provide advice on specific storage requirements including:</w:t>
      </w:r>
    </w:p>
    <w:p>
      <w:pPr>
        <w:spacing w:line="360" w:lineRule="auto"/>
        <w:ind w:firstLine="480"/>
      </w:pPr>
      <w:r>
        <w:rPr>
          <w:rFonts w:ascii="Times New Roman" w:hAnsi="Times New Roman" w:eastAsia="宋体"/>
          <w:b w:val="0"/>
          <w:sz w:val="24"/>
        </w:rPr>
        <w:t>(a)</w:t>
      </w:r>
    </w:p>
    <w:p>
      <w:pPr>
        <w:spacing w:line="360" w:lineRule="auto"/>
        <w:ind w:firstLine="480"/>
      </w:pPr>
      <w:r>
        <w:rPr>
          <w:rFonts w:ascii="Times New Roman" w:hAnsi="Times New Roman" w:eastAsia="宋体"/>
          <w:b w:val="0"/>
          <w:sz w:val="24"/>
        </w:rPr>
        <w:t>How to avoid:</w:t>
      </w:r>
    </w:p>
    <w:p>
      <w:pPr>
        <w:spacing w:line="360" w:lineRule="auto"/>
        <w:ind w:firstLine="480"/>
      </w:pPr>
      <w:r>
        <w:rPr>
          <w:rFonts w:ascii="Times New Roman" w:hAnsi="Times New Roman" w:eastAsia="宋体"/>
          <w:b w:val="0"/>
          <w:sz w:val="24"/>
        </w:rPr>
        <w:t>(i)</w:t>
      </w:r>
    </w:p>
    <w:p>
      <w:pPr>
        <w:spacing w:line="360" w:lineRule="auto"/>
        <w:ind w:firstLine="480"/>
      </w:pPr>
      <w:r>
        <w:rPr>
          <w:rFonts w:ascii="Times New Roman" w:hAnsi="Times New Roman" w:eastAsia="宋体"/>
          <w:b w:val="0"/>
          <w:sz w:val="24"/>
        </w:rPr>
        <w:t>explosive atmospheres;</w:t>
      </w:r>
    </w:p>
    <w:p>
      <w:pPr>
        <w:spacing w:line="360" w:lineRule="auto"/>
        <w:ind w:firstLine="480"/>
      </w:pPr>
      <w:r>
        <w:rPr>
          <w:rFonts w:ascii="Times New Roman" w:hAnsi="Times New Roman" w:eastAsia="宋体"/>
          <w:b w:val="0"/>
          <w:sz w:val="24"/>
        </w:rPr>
        <w:t>(ii)</w:t>
      </w:r>
    </w:p>
    <w:p>
      <w:pPr>
        <w:spacing w:line="360" w:lineRule="auto"/>
        <w:ind w:firstLine="480"/>
      </w:pPr>
      <w:r>
        <w:rPr>
          <w:rFonts w:ascii="Times New Roman" w:hAnsi="Times New Roman" w:eastAsia="宋体"/>
          <w:b w:val="0"/>
          <w:sz w:val="24"/>
        </w:rPr>
        <w:t>corrosive conditions;</w:t>
      </w:r>
    </w:p>
    <w:p>
      <w:pPr>
        <w:spacing w:line="360" w:lineRule="auto"/>
        <w:ind w:firstLine="480"/>
      </w:pPr>
      <w:r>
        <w:rPr>
          <w:rFonts w:ascii="Times New Roman" w:hAnsi="Times New Roman" w:eastAsia="宋体"/>
          <w:b w:val="0"/>
          <w:sz w:val="24"/>
        </w:rPr>
        <w:t>(iii)</w:t>
      </w:r>
    </w:p>
    <w:p>
      <w:pPr>
        <w:spacing w:line="360" w:lineRule="auto"/>
        <w:ind w:firstLine="480"/>
      </w:pPr>
      <w:r>
        <w:rPr>
          <w:rFonts w:ascii="Times New Roman" w:hAnsi="Times New Roman" w:eastAsia="宋体"/>
          <w:b w:val="0"/>
          <w:sz w:val="24"/>
        </w:rPr>
        <w:t>flammability hazards;</w:t>
      </w:r>
    </w:p>
    <w:p>
      <w:pPr>
        <w:spacing w:line="360" w:lineRule="auto"/>
        <w:ind w:firstLine="480"/>
      </w:pPr>
      <w:r>
        <w:rPr>
          <w:rFonts w:ascii="Times New Roman" w:hAnsi="Times New Roman" w:eastAsia="宋体"/>
          <w:b w:val="0"/>
          <w:sz w:val="24"/>
        </w:rPr>
        <w:t>(iv)</w:t>
      </w:r>
    </w:p>
    <w:p>
      <w:pPr>
        <w:spacing w:line="360" w:lineRule="auto"/>
        <w:ind w:firstLine="480"/>
      </w:pPr>
      <w:r>
        <w:rPr>
          <w:rFonts w:ascii="Times New Roman" w:hAnsi="Times New Roman" w:eastAsia="宋体"/>
          <w:b w:val="0"/>
          <w:sz w:val="24"/>
        </w:rPr>
        <w:t>incompatible substances or mixtures;</w:t>
      </w:r>
    </w:p>
    <w:p>
      <w:pPr>
        <w:spacing w:line="360" w:lineRule="auto"/>
        <w:ind w:firstLine="480"/>
      </w:pPr>
      <w:r>
        <w:rPr>
          <w:rFonts w:ascii="Times New Roman" w:hAnsi="Times New Roman" w:eastAsia="宋体"/>
          <w:b w:val="0"/>
          <w:sz w:val="24"/>
        </w:rPr>
        <w:t>(v)</w:t>
      </w:r>
    </w:p>
    <w:p>
      <w:pPr>
        <w:spacing w:line="360" w:lineRule="auto"/>
        <w:ind w:firstLine="480"/>
      </w:pPr>
      <w:r>
        <w:rPr>
          <w:rFonts w:ascii="Times New Roman" w:hAnsi="Times New Roman" w:eastAsia="宋体"/>
          <w:b w:val="0"/>
          <w:sz w:val="24"/>
        </w:rPr>
        <w:t>evaporative conditions; and</w:t>
      </w:r>
    </w:p>
    <w:p>
      <w:pPr>
        <w:spacing w:line="360" w:lineRule="auto"/>
        <w:ind w:firstLine="480"/>
      </w:pPr>
      <w:r>
        <w:rPr>
          <w:rFonts w:ascii="Times New Roman" w:hAnsi="Times New Roman" w:eastAsia="宋体"/>
          <w:b w:val="0"/>
          <w:sz w:val="24"/>
        </w:rPr>
        <w:t>(vi)</w:t>
      </w:r>
    </w:p>
    <w:p>
      <w:pPr>
        <w:spacing w:line="360" w:lineRule="auto"/>
        <w:ind w:firstLine="480"/>
      </w:pPr>
      <w:r>
        <w:rPr>
          <w:rFonts w:ascii="Times New Roman" w:hAnsi="Times New Roman" w:eastAsia="宋体"/>
          <w:b w:val="0"/>
          <w:sz w:val="24"/>
        </w:rPr>
        <w:t>potential ignition sources (including electrical equipment).</w:t>
      </w:r>
    </w:p>
    <w:p>
      <w:pPr>
        <w:spacing w:line="360" w:lineRule="auto"/>
        <w:ind w:firstLine="480"/>
      </w:pPr>
      <w:r>
        <w:rPr>
          <w:rFonts w:ascii="Times New Roman" w:hAnsi="Times New Roman" w:eastAsia="宋体"/>
          <w:b w:val="0"/>
          <w:sz w:val="24"/>
        </w:rPr>
        <w:t>(b)</w:t>
      </w:r>
    </w:p>
    <w:p>
      <w:pPr>
        <w:spacing w:line="360" w:lineRule="auto"/>
        <w:ind w:firstLine="480"/>
      </w:pPr>
      <w:r>
        <w:rPr>
          <w:rFonts w:ascii="Times New Roman" w:hAnsi="Times New Roman" w:eastAsia="宋体"/>
          <w:b w:val="0"/>
          <w:sz w:val="24"/>
        </w:rPr>
        <w:t>How to control the effects of:</w:t>
      </w:r>
    </w:p>
    <w:p>
      <w:pPr>
        <w:spacing w:line="360" w:lineRule="auto"/>
        <w:ind w:firstLine="480"/>
      </w:pPr>
      <w:r>
        <w:rPr>
          <w:rFonts w:ascii="Times New Roman" w:hAnsi="Times New Roman" w:eastAsia="宋体"/>
          <w:b w:val="0"/>
          <w:sz w:val="24"/>
        </w:rPr>
        <w:t>(i)</w:t>
      </w:r>
    </w:p>
    <w:p>
      <w:pPr>
        <w:spacing w:line="360" w:lineRule="auto"/>
        <w:ind w:firstLine="480"/>
      </w:pPr>
      <w:r>
        <w:rPr>
          <w:rFonts w:ascii="Times New Roman" w:hAnsi="Times New Roman" w:eastAsia="宋体"/>
          <w:b w:val="0"/>
          <w:sz w:val="24"/>
        </w:rPr>
        <w:t>weather conditions;</w:t>
      </w:r>
    </w:p>
    <w:p>
      <w:pPr>
        <w:spacing w:line="360" w:lineRule="auto"/>
        <w:ind w:firstLine="480"/>
      </w:pPr>
      <w:r>
        <w:rPr>
          <w:rFonts w:ascii="Times New Roman" w:hAnsi="Times New Roman" w:eastAsia="宋体"/>
          <w:b w:val="0"/>
          <w:sz w:val="24"/>
        </w:rPr>
        <w:t>(ii)</w:t>
      </w:r>
    </w:p>
    <w:p>
      <w:pPr>
        <w:spacing w:line="360" w:lineRule="auto"/>
        <w:ind w:firstLine="480"/>
      </w:pPr>
      <w:r>
        <w:rPr>
          <w:rFonts w:ascii="Times New Roman" w:hAnsi="Times New Roman" w:eastAsia="宋体"/>
          <w:b w:val="0"/>
          <w:sz w:val="24"/>
        </w:rPr>
        <w:t>ambient pressure;</w:t>
      </w:r>
    </w:p>
    <w:p>
      <w:pPr>
        <w:spacing w:line="360" w:lineRule="auto"/>
        <w:ind w:firstLine="480"/>
      </w:pPr>
      <w:r>
        <w:rPr>
          <w:rFonts w:ascii="Times New Roman" w:hAnsi="Times New Roman" w:eastAsia="宋体"/>
          <w:b w:val="0"/>
          <w:sz w:val="24"/>
        </w:rPr>
        <w:t>(iii)</w:t>
      </w:r>
    </w:p>
    <w:p>
      <w:pPr>
        <w:spacing w:line="360" w:lineRule="auto"/>
        <w:ind w:firstLine="480"/>
      </w:pPr>
      <w:r>
        <w:rPr>
          <w:rFonts w:ascii="Times New Roman" w:hAnsi="Times New Roman" w:eastAsia="宋体"/>
          <w:b w:val="0"/>
          <w:sz w:val="24"/>
        </w:rPr>
        <w:t>temperature;</w:t>
      </w:r>
    </w:p>
    <w:p>
      <w:pPr>
        <w:spacing w:line="360" w:lineRule="auto"/>
        <w:ind w:firstLine="480"/>
      </w:pPr>
      <w:r>
        <w:rPr>
          <w:rFonts w:ascii="Times New Roman" w:hAnsi="Times New Roman" w:eastAsia="宋体"/>
          <w:b w:val="0"/>
          <w:sz w:val="24"/>
        </w:rPr>
        <w:t>- 416 -</w:t>
      </w:r>
    </w:p>
    <w:p>
      <w:pPr>
        <w:spacing w:line="360" w:lineRule="auto"/>
        <w:ind w:firstLine="480"/>
      </w:pPr>
      <w:r>
        <w:rPr>
          <w:rFonts w:ascii="Times New Roman" w:hAnsi="Times New Roman" w:eastAsia="宋体"/>
          <w:b w:val="0"/>
          <w:sz w:val="24"/>
        </w:rPr>
        <w:t>(iv)</w:t>
      </w:r>
    </w:p>
    <w:p>
      <w:pPr>
        <w:spacing w:line="360" w:lineRule="auto"/>
        <w:ind w:firstLine="480"/>
      </w:pPr>
      <w:r>
        <w:rPr>
          <w:rFonts w:ascii="Times New Roman" w:hAnsi="Times New Roman" w:eastAsia="宋体"/>
          <w:b w:val="0"/>
          <w:sz w:val="24"/>
        </w:rPr>
        <w:t>sunlight;</w:t>
      </w:r>
    </w:p>
    <w:p>
      <w:pPr>
        <w:spacing w:line="360" w:lineRule="auto"/>
        <w:ind w:firstLine="480"/>
      </w:pPr>
      <w:r>
        <w:rPr>
          <w:rFonts w:ascii="Times New Roman" w:hAnsi="Times New Roman" w:eastAsia="宋体"/>
          <w:b w:val="0"/>
          <w:sz w:val="24"/>
        </w:rPr>
        <w:t>(v)</w:t>
      </w:r>
    </w:p>
    <w:p>
      <w:pPr>
        <w:spacing w:line="360" w:lineRule="auto"/>
        <w:ind w:firstLine="480"/>
      </w:pPr>
      <w:r>
        <w:rPr>
          <w:rFonts w:ascii="Times New Roman" w:hAnsi="Times New Roman" w:eastAsia="宋体"/>
          <w:b w:val="0"/>
          <w:sz w:val="24"/>
        </w:rPr>
        <w:t>humidity; and</w:t>
      </w:r>
    </w:p>
    <w:p>
      <w:pPr>
        <w:spacing w:line="360" w:lineRule="auto"/>
        <w:ind w:firstLine="480"/>
      </w:pPr>
      <w:r>
        <w:rPr>
          <w:rFonts w:ascii="Times New Roman" w:hAnsi="Times New Roman" w:eastAsia="宋体"/>
          <w:b w:val="0"/>
          <w:sz w:val="24"/>
        </w:rPr>
        <w:t>(vi)</w:t>
      </w:r>
    </w:p>
    <w:p>
      <w:pPr>
        <w:spacing w:line="360" w:lineRule="auto"/>
        <w:ind w:firstLine="480"/>
      </w:pPr>
      <w:r>
        <w:rPr>
          <w:rFonts w:ascii="Times New Roman" w:hAnsi="Times New Roman" w:eastAsia="宋体"/>
          <w:b w:val="0"/>
          <w:sz w:val="24"/>
        </w:rPr>
        <w:t>vibration.</w:t>
      </w:r>
    </w:p>
    <w:p>
      <w:pPr>
        <w:spacing w:line="360" w:lineRule="auto"/>
        <w:ind w:firstLine="480"/>
      </w:pPr>
      <w:r>
        <w:rPr>
          <w:rFonts w:ascii="Times New Roman" w:hAnsi="Times New Roman" w:eastAsia="宋体"/>
          <w:b w:val="0"/>
          <w:sz w:val="24"/>
        </w:rPr>
        <w:t>(c)</w:t>
      </w:r>
    </w:p>
    <w:p>
      <w:pPr>
        <w:spacing w:line="360" w:lineRule="auto"/>
        <w:ind w:firstLine="480"/>
      </w:pPr>
      <w:r>
        <w:rPr>
          <w:rFonts w:ascii="Times New Roman" w:hAnsi="Times New Roman" w:eastAsia="宋体"/>
          <w:b w:val="0"/>
          <w:sz w:val="24"/>
        </w:rPr>
        <w:t>How to maintain the integrity of the substance or mixture by the use of:</w:t>
      </w:r>
    </w:p>
    <w:p>
      <w:pPr>
        <w:spacing w:line="360" w:lineRule="auto"/>
        <w:ind w:firstLine="480"/>
      </w:pPr>
      <w:r>
        <w:rPr>
          <w:rFonts w:ascii="Times New Roman" w:hAnsi="Times New Roman" w:eastAsia="宋体"/>
          <w:b w:val="0"/>
          <w:sz w:val="24"/>
        </w:rPr>
        <w:t>(i)</w:t>
      </w:r>
    </w:p>
    <w:p>
      <w:pPr>
        <w:spacing w:line="360" w:lineRule="auto"/>
        <w:ind w:firstLine="480"/>
      </w:pPr>
      <w:r>
        <w:rPr>
          <w:rFonts w:ascii="Times New Roman" w:hAnsi="Times New Roman" w:eastAsia="宋体"/>
          <w:b w:val="0"/>
          <w:sz w:val="24"/>
        </w:rPr>
        <w:t>stabilizers; and</w:t>
      </w:r>
    </w:p>
    <w:p>
      <w:pPr>
        <w:spacing w:line="360" w:lineRule="auto"/>
        <w:ind w:firstLine="480"/>
      </w:pPr>
      <w:r>
        <w:rPr>
          <w:rFonts w:ascii="Times New Roman" w:hAnsi="Times New Roman" w:eastAsia="宋体"/>
          <w:b w:val="0"/>
          <w:sz w:val="24"/>
        </w:rPr>
        <w:t>(ii)</w:t>
      </w:r>
    </w:p>
    <w:p>
      <w:pPr>
        <w:spacing w:line="360" w:lineRule="auto"/>
        <w:ind w:firstLine="480"/>
      </w:pPr>
      <w:r>
        <w:rPr>
          <w:rFonts w:ascii="Times New Roman" w:hAnsi="Times New Roman" w:eastAsia="宋体"/>
          <w:b w:val="0"/>
          <w:sz w:val="24"/>
        </w:rPr>
        <w:t>anti-oxidants.</w:t>
      </w:r>
    </w:p>
    <w:p>
      <w:pPr>
        <w:spacing w:line="360" w:lineRule="auto"/>
        <w:ind w:firstLine="480"/>
      </w:pPr>
      <w:r>
        <w:rPr>
          <w:rFonts w:ascii="Times New Roman" w:hAnsi="Times New Roman" w:eastAsia="宋体"/>
          <w:b w:val="0"/>
          <w:sz w:val="24"/>
        </w:rPr>
        <w:t>(d)</w:t>
      </w:r>
    </w:p>
    <w:p>
      <w:pPr>
        <w:spacing w:line="360" w:lineRule="auto"/>
        <w:ind w:firstLine="480"/>
      </w:pPr>
      <w:r>
        <w:rPr>
          <w:rFonts w:ascii="Times New Roman" w:hAnsi="Times New Roman" w:eastAsia="宋体"/>
          <w:b w:val="0"/>
          <w:sz w:val="24"/>
        </w:rPr>
        <w:t>Other advice including:</w:t>
      </w:r>
    </w:p>
    <w:p>
      <w:pPr>
        <w:spacing w:line="360" w:lineRule="auto"/>
        <w:ind w:firstLine="480"/>
      </w:pPr>
      <w:r>
        <w:rPr>
          <w:rFonts w:ascii="Times New Roman" w:hAnsi="Times New Roman" w:eastAsia="宋体"/>
          <w:b w:val="0"/>
          <w:sz w:val="24"/>
        </w:rPr>
        <w:t>(i)</w:t>
      </w:r>
    </w:p>
    <w:p>
      <w:pPr>
        <w:spacing w:line="360" w:lineRule="auto"/>
        <w:ind w:firstLine="480"/>
      </w:pPr>
      <w:r>
        <w:rPr>
          <w:rFonts w:ascii="Times New Roman" w:hAnsi="Times New Roman" w:eastAsia="宋体"/>
          <w:b w:val="0"/>
          <w:sz w:val="24"/>
        </w:rPr>
        <w:t>ventilation requirements;</w:t>
      </w:r>
    </w:p>
    <w:p>
      <w:pPr>
        <w:spacing w:line="360" w:lineRule="auto"/>
        <w:ind w:firstLine="480"/>
      </w:pPr>
      <w:r>
        <w:rPr>
          <w:rFonts w:ascii="Times New Roman" w:hAnsi="Times New Roman" w:eastAsia="宋体"/>
          <w:b w:val="0"/>
          <w:sz w:val="24"/>
        </w:rPr>
        <w:t>(ii)</w:t>
      </w:r>
    </w:p>
    <w:p>
      <w:pPr>
        <w:spacing w:line="360" w:lineRule="auto"/>
        <w:ind w:firstLine="480"/>
      </w:pPr>
      <w:r>
        <w:rPr>
          <w:rFonts w:ascii="Times New Roman" w:hAnsi="Times New Roman" w:eastAsia="宋体"/>
          <w:b w:val="0"/>
          <w:sz w:val="24"/>
        </w:rPr>
        <w:t>specific designs for storage rooms/vessels;</w:t>
      </w:r>
    </w:p>
    <w:p>
      <w:pPr>
        <w:spacing w:line="360" w:lineRule="auto"/>
        <w:ind w:firstLine="480"/>
      </w:pPr>
      <w:r>
        <w:rPr>
          <w:rFonts w:ascii="Times New Roman" w:hAnsi="Times New Roman" w:eastAsia="宋体"/>
          <w:b w:val="0"/>
          <w:sz w:val="24"/>
        </w:rPr>
        <w:t>(iii)</w:t>
      </w:r>
    </w:p>
    <w:p>
      <w:pPr>
        <w:spacing w:line="360" w:lineRule="auto"/>
        <w:ind w:firstLine="480"/>
      </w:pPr>
      <w:r>
        <w:rPr>
          <w:rFonts w:ascii="Times New Roman" w:hAnsi="Times New Roman" w:eastAsia="宋体"/>
          <w:b w:val="0"/>
          <w:sz w:val="24"/>
        </w:rPr>
        <w:t>quantity limits under storage conditions (if relevant); and</w:t>
      </w:r>
    </w:p>
    <w:p>
      <w:pPr>
        <w:spacing w:line="360" w:lineRule="auto"/>
        <w:ind w:firstLine="480"/>
      </w:pPr>
      <w:r>
        <w:rPr>
          <w:rFonts w:ascii="Times New Roman" w:hAnsi="Times New Roman" w:eastAsia="宋体"/>
          <w:b w:val="0"/>
          <w:sz w:val="24"/>
        </w:rPr>
        <w:t>(iv)</w:t>
      </w:r>
    </w:p>
    <w:p>
      <w:pPr>
        <w:spacing w:line="360" w:lineRule="auto"/>
        <w:ind w:firstLine="480"/>
      </w:pPr>
      <w:r>
        <w:rPr>
          <w:rFonts w:ascii="Times New Roman" w:hAnsi="Times New Roman" w:eastAsia="宋体"/>
          <w:b w:val="0"/>
          <w:sz w:val="24"/>
        </w:rPr>
        <w:t>packaging compatibilities.</w:t>
      </w:r>
    </w:p>
    <w:p>
      <w:pPr>
        <w:spacing w:line="360" w:lineRule="auto"/>
        <w:ind w:firstLine="480"/>
      </w:pPr>
      <w:r>
        <w:rPr>
          <w:rFonts w:ascii="Times New Roman" w:hAnsi="Times New Roman" w:eastAsia="宋体"/>
          <w:b w:val="0"/>
          <w:sz w:val="24"/>
        </w:rPr>
        <w:t>A4.3.8</w:t>
      </w:r>
    </w:p>
    <w:p>
      <w:pPr>
        <w:spacing w:line="360" w:lineRule="auto"/>
        <w:ind w:firstLine="480"/>
      </w:pPr>
      <w:r>
        <w:rPr>
          <w:rFonts w:ascii="Times New Roman" w:hAnsi="Times New Roman" w:eastAsia="宋体"/>
          <w:b w:val="0"/>
          <w:sz w:val="24"/>
        </w:rPr>
        <w:t>SECTION 8: Exposure controls/personal protection</w:t>
      </w:r>
    </w:p>
    <w:p>
      <w:pPr>
        <w:spacing w:line="360" w:lineRule="auto"/>
        <w:ind w:firstLine="480"/>
      </w:pPr>
      <w:r>
        <w:rPr>
          <w:rFonts w:ascii="Times New Roman" w:hAnsi="Times New Roman" w:eastAsia="宋体"/>
          <w:b w:val="0"/>
          <w:sz w:val="24"/>
        </w:rPr>
        <w:t>Within this guidance the term “occupational exposure limit(s)” refers to limits in the air of the workplace</w:t>
      </w:r>
    </w:p>
    <w:p>
      <w:pPr>
        <w:spacing w:line="360" w:lineRule="auto"/>
        <w:ind w:firstLine="480"/>
      </w:pPr>
      <w:r>
        <w:rPr>
          <w:rFonts w:ascii="Times New Roman" w:hAnsi="Times New Roman" w:eastAsia="宋体"/>
          <w:b w:val="0"/>
          <w:sz w:val="24"/>
        </w:rPr>
        <w:t>or biological limit values. In addition, for the purposes of this document “exposure control” means the full range of</w:t>
      </w:r>
    </w:p>
    <w:p>
      <w:pPr>
        <w:spacing w:line="360" w:lineRule="auto"/>
        <w:ind w:firstLine="480"/>
      </w:pPr>
      <w:r>
        <w:rPr>
          <w:rFonts w:ascii="Times New Roman" w:hAnsi="Times New Roman" w:eastAsia="宋体"/>
          <w:b w:val="0"/>
          <w:sz w:val="24"/>
        </w:rPr>
        <w:t>specific protection and prevention measures to be taken during use in order to minimize worker and environmental</w:t>
      </w:r>
    </w:p>
    <w:p>
      <w:pPr>
        <w:spacing w:line="360" w:lineRule="auto"/>
        <w:ind w:firstLine="480"/>
      </w:pPr>
      <w:r>
        <w:rPr>
          <w:rFonts w:ascii="Times New Roman" w:hAnsi="Times New Roman" w:eastAsia="宋体"/>
          <w:b w:val="0"/>
          <w:sz w:val="24"/>
        </w:rPr>
        <w:t>exposure. Engineering control measures that are needed to minimize exposure to, and risks associated with the hazards</w:t>
      </w:r>
    </w:p>
    <w:p>
      <w:pPr>
        <w:spacing w:line="360" w:lineRule="auto"/>
        <w:ind w:firstLine="480"/>
      </w:pPr>
      <w:r>
        <w:rPr>
          <w:rFonts w:ascii="Times New Roman" w:hAnsi="Times New Roman" w:eastAsia="宋体"/>
          <w:b w:val="0"/>
          <w:sz w:val="24"/>
        </w:rPr>
        <w:t>of, the substance or mixture should be included in this section.</w:t>
      </w:r>
    </w:p>
    <w:p>
      <w:pPr>
        <w:spacing w:line="360" w:lineRule="auto"/>
        <w:ind w:firstLine="480"/>
      </w:pPr>
      <w:r>
        <w:rPr>
          <w:rFonts w:ascii="Times New Roman" w:hAnsi="Times New Roman" w:eastAsia="宋体"/>
          <w:b w:val="0"/>
          <w:sz w:val="24"/>
        </w:rPr>
        <w:t>A4.3.8.1</w:t>
      </w:r>
    </w:p>
    <w:p>
      <w:pPr>
        <w:spacing w:line="360" w:lineRule="auto"/>
        <w:ind w:firstLine="480"/>
      </w:pPr>
      <w:r>
        <w:rPr>
          <w:rFonts w:ascii="Times New Roman" w:hAnsi="Times New Roman" w:eastAsia="宋体"/>
          <w:b w:val="0"/>
          <w:sz w:val="24"/>
        </w:rPr>
        <w:t>Control parameters</w:t>
      </w:r>
    </w:p>
    <w:p>
      <w:pPr>
        <w:spacing w:line="360" w:lineRule="auto"/>
        <w:ind w:firstLine="480"/>
      </w:pPr>
      <w:r>
        <w:rPr>
          <w:rFonts w:ascii="Times New Roman" w:hAnsi="Times New Roman" w:eastAsia="宋体"/>
          <w:b w:val="0"/>
          <w:sz w:val="24"/>
        </w:rPr>
        <w:t>A4.3.8.1.1</w:t>
      </w:r>
    </w:p>
    <w:p>
      <w:pPr>
        <w:spacing w:line="360" w:lineRule="auto"/>
        <w:ind w:firstLine="480"/>
      </w:pPr>
      <w:r>
        <w:rPr>
          <w:rFonts w:ascii="Times New Roman" w:hAnsi="Times New Roman" w:eastAsia="宋体"/>
          <w:b w:val="0"/>
          <w:sz w:val="24"/>
        </w:rPr>
        <w:t>Where available, list the occupational exposure limits (limits in the air of the workplace or biological</w:t>
      </w:r>
    </w:p>
    <w:p>
      <w:pPr>
        <w:spacing w:line="360" w:lineRule="auto"/>
        <w:ind w:firstLine="480"/>
      </w:pPr>
      <w:r>
        <w:rPr>
          <w:rFonts w:ascii="Times New Roman" w:hAnsi="Times New Roman" w:eastAsia="宋体"/>
          <w:b w:val="0"/>
          <w:sz w:val="24"/>
        </w:rPr>
        <w:t>limit values), including notations, for a substance and for each of the ingredients of a mixture. If air contaminants are</w:t>
      </w:r>
    </w:p>
    <w:p>
      <w:pPr>
        <w:spacing w:line="360" w:lineRule="auto"/>
        <w:ind w:firstLine="480"/>
      </w:pPr>
      <w:r>
        <w:rPr>
          <w:rFonts w:ascii="Times New Roman" w:hAnsi="Times New Roman" w:eastAsia="宋体"/>
          <w:b w:val="0"/>
          <w:sz w:val="24"/>
        </w:rPr>
        <w:t>formed when using the substance or mixture as intended available occupational exposure limits for these should also be</w:t>
      </w:r>
    </w:p>
    <w:p>
      <w:pPr>
        <w:spacing w:line="360" w:lineRule="auto"/>
        <w:ind w:firstLine="480"/>
      </w:pPr>
      <w:r>
        <w:rPr>
          <w:rFonts w:ascii="Times New Roman" w:hAnsi="Times New Roman" w:eastAsia="宋体"/>
          <w:b w:val="0"/>
          <w:sz w:val="24"/>
        </w:rPr>
        <w:t>listed. If an occupational exposure limit exists for the country or region in which the SDS is being supplied, this should</w:t>
      </w:r>
    </w:p>
    <w:p>
      <w:pPr>
        <w:spacing w:line="360" w:lineRule="auto"/>
        <w:ind w:firstLine="480"/>
      </w:pPr>
      <w:r>
        <w:rPr>
          <w:rFonts w:ascii="Times New Roman" w:hAnsi="Times New Roman" w:eastAsia="宋体"/>
          <w:b w:val="0"/>
          <w:sz w:val="24"/>
        </w:rPr>
        <w:t>be listed. The source of the occupational exposure limit should be stated on the SDS. When listing occupational exposure</w:t>
      </w:r>
    </w:p>
    <w:p>
      <w:pPr>
        <w:spacing w:line="360" w:lineRule="auto"/>
        <w:ind w:firstLine="480"/>
      </w:pPr>
      <w:r>
        <w:rPr>
          <w:rFonts w:ascii="Times New Roman" w:hAnsi="Times New Roman" w:eastAsia="宋体"/>
          <w:b w:val="0"/>
          <w:sz w:val="24"/>
        </w:rPr>
        <w:t>limits, use the chemical identity as specified in section 3 (Composition/Information on ingredients) of the SDS.</w:t>
      </w:r>
    </w:p>
    <w:p>
      <w:pPr>
        <w:spacing w:line="360" w:lineRule="auto"/>
        <w:ind w:firstLine="480"/>
      </w:pPr>
      <w:r>
        <w:rPr>
          <w:rFonts w:ascii="Times New Roman" w:hAnsi="Times New Roman" w:eastAsia="宋体"/>
          <w:b w:val="0"/>
          <w:sz w:val="24"/>
        </w:rPr>
        <w:t>A4.3.8.1.2</w:t>
      </w:r>
    </w:p>
    <w:p>
      <w:pPr>
        <w:spacing w:line="360" w:lineRule="auto"/>
        <w:ind w:firstLine="480"/>
      </w:pPr>
      <w:r>
        <w:rPr>
          <w:rFonts w:ascii="Times New Roman" w:hAnsi="Times New Roman" w:eastAsia="宋体"/>
          <w:b w:val="0"/>
          <w:sz w:val="24"/>
        </w:rPr>
        <w:t>Where available, list the biological limit values, including notations, for a substance and for each of the</w:t>
      </w:r>
    </w:p>
    <w:p>
      <w:pPr>
        <w:spacing w:line="360" w:lineRule="auto"/>
        <w:ind w:firstLine="480"/>
      </w:pPr>
      <w:r>
        <w:rPr>
          <w:rFonts w:ascii="Times New Roman" w:hAnsi="Times New Roman" w:eastAsia="宋体"/>
          <w:b w:val="0"/>
          <w:sz w:val="24"/>
        </w:rPr>
        <w:t>ingredients of a mixture. Where possible, the biological limit value should be relevant to the countries or regions in which</w:t>
      </w:r>
    </w:p>
    <w:p>
      <w:pPr>
        <w:spacing w:line="360" w:lineRule="auto"/>
        <w:ind w:firstLine="480"/>
      </w:pPr>
      <w:r>
        <w:rPr>
          <w:rFonts w:ascii="Times New Roman" w:hAnsi="Times New Roman" w:eastAsia="宋体"/>
          <w:b w:val="0"/>
          <w:sz w:val="24"/>
        </w:rPr>
        <w:t>the SDS is being supplied. The source of the biological limit value should be stated on the SDS. When listing biological</w:t>
      </w:r>
    </w:p>
    <w:p>
      <w:pPr>
        <w:spacing w:line="360" w:lineRule="auto"/>
        <w:ind w:firstLine="480"/>
      </w:pPr>
      <w:r>
        <w:rPr>
          <w:rFonts w:ascii="Times New Roman" w:hAnsi="Times New Roman" w:eastAsia="宋体"/>
          <w:b w:val="0"/>
          <w:sz w:val="24"/>
        </w:rPr>
        <w:t>limit values, use the chemical identity as specified in section 3 of the SDS.</w:t>
      </w:r>
    </w:p>
    <w:p>
      <w:pPr>
        <w:spacing w:line="360" w:lineRule="auto"/>
        <w:ind w:firstLine="480"/>
      </w:pPr>
      <w:r>
        <w:rPr>
          <w:rFonts w:ascii="Times New Roman" w:hAnsi="Times New Roman" w:eastAsia="宋体"/>
          <w:b w:val="0"/>
          <w:sz w:val="24"/>
        </w:rPr>
        <w:t>A4.3.8.1.3</w:t>
      </w:r>
    </w:p>
    <w:p>
      <w:pPr>
        <w:spacing w:line="360" w:lineRule="auto"/>
        <w:ind w:firstLine="480"/>
      </w:pPr>
      <w:r>
        <w:rPr>
          <w:rFonts w:ascii="Times New Roman" w:hAnsi="Times New Roman" w:eastAsia="宋体"/>
          <w:b w:val="0"/>
          <w:sz w:val="24"/>
        </w:rPr>
        <w:t>Where a control banding approach is recommended for providing protection in relation to specific uses</w:t>
      </w:r>
    </w:p>
    <w:p>
      <w:pPr>
        <w:spacing w:line="360" w:lineRule="auto"/>
        <w:ind w:firstLine="480"/>
      </w:pPr>
      <w:r>
        <w:rPr>
          <w:rFonts w:ascii="Times New Roman" w:hAnsi="Times New Roman" w:eastAsia="宋体"/>
          <w:b w:val="0"/>
          <w:sz w:val="24"/>
        </w:rPr>
        <w:t>then sufficient detail should be given to enable effective management of the risk. The context and limitations of the</w:t>
      </w:r>
    </w:p>
    <w:p>
      <w:pPr>
        <w:spacing w:line="360" w:lineRule="auto"/>
        <w:ind w:firstLine="480"/>
      </w:pPr>
      <w:r>
        <w:rPr>
          <w:rFonts w:ascii="Times New Roman" w:hAnsi="Times New Roman" w:eastAsia="宋体"/>
          <w:b w:val="0"/>
          <w:sz w:val="24"/>
        </w:rPr>
        <w:t>specific control banding recommendation should be made clear.</w:t>
      </w:r>
    </w:p>
    <w:p>
      <w:pPr>
        <w:spacing w:line="360" w:lineRule="auto"/>
        <w:ind w:firstLine="480"/>
      </w:pPr>
      <w:r>
        <w:rPr>
          <w:rFonts w:ascii="Times New Roman" w:hAnsi="Times New Roman" w:eastAsia="宋体"/>
          <w:b w:val="0"/>
          <w:sz w:val="24"/>
        </w:rPr>
        <w:t>A4.3.8.2</w:t>
      </w:r>
    </w:p>
    <w:p>
      <w:pPr>
        <w:spacing w:line="360" w:lineRule="auto"/>
        <w:ind w:firstLine="480"/>
      </w:pPr>
      <w:r>
        <w:rPr>
          <w:rFonts w:ascii="Times New Roman" w:hAnsi="Times New Roman" w:eastAsia="宋体"/>
          <w:b w:val="0"/>
          <w:sz w:val="24"/>
        </w:rPr>
        <w:t>Appropriate engineering controls</w:t>
      </w:r>
    </w:p>
    <w:p>
      <w:pPr>
        <w:spacing w:line="360" w:lineRule="auto"/>
        <w:ind w:firstLine="480"/>
      </w:pPr>
      <w:r>
        <w:rPr>
          <w:rFonts w:ascii="Times New Roman" w:hAnsi="Times New Roman" w:eastAsia="宋体"/>
          <w:b w:val="0"/>
          <w:sz w:val="24"/>
        </w:rPr>
        <w:t>The description of appropriate exposure control measures should relate to the intended modes of use of</w:t>
      </w:r>
    </w:p>
    <w:p>
      <w:pPr>
        <w:spacing w:line="360" w:lineRule="auto"/>
        <w:ind w:firstLine="480"/>
      </w:pPr>
      <w:r>
        <w:rPr>
          <w:rFonts w:ascii="Times New Roman" w:hAnsi="Times New Roman" w:eastAsia="宋体"/>
          <w:b w:val="0"/>
          <w:sz w:val="24"/>
        </w:rPr>
        <w:t>the substance or mixture. Sufficient information should be provided to enable a proper risk assessment to be carried out.</w:t>
      </w:r>
    </w:p>
    <w:p>
      <w:pPr>
        <w:spacing w:line="360" w:lineRule="auto"/>
        <w:ind w:firstLine="480"/>
      </w:pPr>
      <w:r>
        <w:rPr>
          <w:rFonts w:ascii="Times New Roman" w:hAnsi="Times New Roman" w:eastAsia="宋体"/>
          <w:b w:val="0"/>
          <w:sz w:val="24"/>
        </w:rPr>
        <w:t>Indicate when special engineering controls are necessary and specify which type. Examples include:</w:t>
      </w:r>
    </w:p>
    <w:p>
      <w:pPr>
        <w:spacing w:line="360" w:lineRule="auto"/>
        <w:ind w:firstLine="480"/>
      </w:pPr>
      <w:r>
        <w:rPr>
          <w:rFonts w:ascii="Times New Roman" w:hAnsi="Times New Roman" w:eastAsia="宋体"/>
          <w:b w:val="0"/>
          <w:sz w:val="24"/>
        </w:rPr>
        <w:t>(a)</w:t>
      </w:r>
    </w:p>
    <w:p>
      <w:pPr>
        <w:spacing w:line="360" w:lineRule="auto"/>
        <w:ind w:firstLine="480"/>
      </w:pPr>
      <w:r>
        <w:rPr>
          <w:rFonts w:ascii="Times New Roman" w:hAnsi="Times New Roman" w:eastAsia="宋体"/>
          <w:b w:val="0"/>
          <w:sz w:val="24"/>
        </w:rPr>
        <w:t>“maintain air concentrations below occupational exposure standards”, using engineering controls</w:t>
      </w:r>
    </w:p>
    <w:p>
      <w:pPr>
        <w:spacing w:line="360" w:lineRule="auto"/>
        <w:ind w:firstLine="480"/>
      </w:pPr>
      <w:r>
        <w:rPr>
          <w:rFonts w:ascii="Times New Roman" w:hAnsi="Times New Roman" w:eastAsia="宋体"/>
          <w:b w:val="0"/>
          <w:sz w:val="24"/>
        </w:rPr>
        <w:t>if necessary;</w:t>
      </w:r>
    </w:p>
    <w:p>
      <w:pPr>
        <w:spacing w:line="360" w:lineRule="auto"/>
        <w:ind w:firstLine="480"/>
      </w:pPr>
      <w:r>
        <w:rPr>
          <w:rFonts w:ascii="Times New Roman" w:hAnsi="Times New Roman" w:eastAsia="宋体"/>
          <w:b w:val="0"/>
          <w:sz w:val="24"/>
        </w:rPr>
        <w:t>(b)</w:t>
      </w:r>
    </w:p>
    <w:p>
      <w:pPr>
        <w:spacing w:line="360" w:lineRule="auto"/>
        <w:ind w:firstLine="480"/>
      </w:pPr>
      <w:r>
        <w:rPr>
          <w:rFonts w:ascii="Times New Roman" w:hAnsi="Times New Roman" w:eastAsia="宋体"/>
          <w:b w:val="0"/>
          <w:sz w:val="24"/>
        </w:rPr>
        <w:t>“use local exhaust ventilation when…”;</w:t>
      </w:r>
    </w:p>
    <w:p>
      <w:pPr>
        <w:spacing w:line="360" w:lineRule="auto"/>
        <w:ind w:firstLine="480"/>
      </w:pPr>
      <w:r>
        <w:rPr>
          <w:rFonts w:ascii="Times New Roman" w:hAnsi="Times New Roman" w:eastAsia="宋体"/>
          <w:b w:val="0"/>
          <w:sz w:val="24"/>
        </w:rPr>
        <w:t>(c)</w:t>
      </w:r>
    </w:p>
    <w:p>
      <w:pPr>
        <w:spacing w:line="360" w:lineRule="auto"/>
        <w:ind w:firstLine="480"/>
      </w:pPr>
      <w:r>
        <w:rPr>
          <w:rFonts w:ascii="Times New Roman" w:hAnsi="Times New Roman" w:eastAsia="宋体"/>
          <w:b w:val="0"/>
          <w:sz w:val="24"/>
        </w:rPr>
        <w:t>“use only in an enclosed system”;</w:t>
      </w:r>
    </w:p>
    <w:p>
      <w:pPr>
        <w:spacing w:line="360" w:lineRule="auto"/>
        <w:ind w:firstLine="480"/>
      </w:pPr>
      <w:r>
        <w:rPr>
          <w:rFonts w:ascii="Times New Roman" w:hAnsi="Times New Roman" w:eastAsia="宋体"/>
          <w:b w:val="0"/>
          <w:sz w:val="24"/>
        </w:rPr>
        <w:t>(d)</w:t>
      </w:r>
    </w:p>
    <w:p>
      <w:pPr>
        <w:spacing w:line="360" w:lineRule="auto"/>
        <w:ind w:firstLine="480"/>
      </w:pPr>
      <w:r>
        <w:rPr>
          <w:rFonts w:ascii="Times New Roman" w:hAnsi="Times New Roman" w:eastAsia="宋体"/>
          <w:b w:val="0"/>
          <w:sz w:val="24"/>
        </w:rPr>
        <w:t>“use only in spray paint booth or enclosure”;</w:t>
      </w:r>
    </w:p>
    <w:p>
      <w:pPr>
        <w:spacing w:line="360" w:lineRule="auto"/>
        <w:ind w:firstLine="480"/>
      </w:pPr>
      <w:r>
        <w:rPr>
          <w:rFonts w:ascii="Times New Roman" w:hAnsi="Times New Roman" w:eastAsia="宋体"/>
          <w:b w:val="0"/>
          <w:sz w:val="24"/>
        </w:rPr>
        <w:t>- 417 -</w:t>
      </w:r>
    </w:p>
    <w:p>
      <w:pPr>
        <w:spacing w:line="360" w:lineRule="auto"/>
        <w:ind w:firstLine="480"/>
      </w:pPr>
      <w:r>
        <w:rPr>
          <w:rFonts w:ascii="Times New Roman" w:hAnsi="Times New Roman" w:eastAsia="宋体"/>
          <w:b w:val="0"/>
          <w:sz w:val="24"/>
        </w:rPr>
        <w:t>(e)</w:t>
      </w:r>
    </w:p>
    <w:p>
      <w:pPr>
        <w:spacing w:line="360" w:lineRule="auto"/>
        <w:ind w:firstLine="480"/>
      </w:pPr>
      <w:r>
        <w:rPr>
          <w:rFonts w:ascii="Times New Roman" w:hAnsi="Times New Roman" w:eastAsia="宋体"/>
          <w:b w:val="0"/>
          <w:sz w:val="24"/>
        </w:rPr>
        <w:t>“use mechanical handling to reduce human contact with materials”; or</w:t>
      </w:r>
    </w:p>
    <w:p>
      <w:pPr>
        <w:spacing w:line="360" w:lineRule="auto"/>
        <w:ind w:firstLine="480"/>
      </w:pPr>
      <w:r>
        <w:rPr>
          <w:rFonts w:ascii="Times New Roman" w:hAnsi="Times New Roman" w:eastAsia="宋体"/>
          <w:b w:val="0"/>
          <w:sz w:val="24"/>
        </w:rPr>
        <w:t>(f)</w:t>
      </w:r>
    </w:p>
    <w:p>
      <w:pPr>
        <w:spacing w:line="360" w:lineRule="auto"/>
        <w:ind w:firstLine="480"/>
      </w:pPr>
      <w:r>
        <w:rPr>
          <w:rFonts w:ascii="Times New Roman" w:hAnsi="Times New Roman" w:eastAsia="宋体"/>
          <w:b w:val="0"/>
          <w:sz w:val="24"/>
        </w:rPr>
        <w:t>“use explosive dust handling controls”.</w:t>
      </w:r>
    </w:p>
    <w:p>
      <w:pPr>
        <w:spacing w:line="360" w:lineRule="auto"/>
        <w:ind w:firstLine="480"/>
      </w:pPr>
      <w:r>
        <w:rPr>
          <w:rFonts w:ascii="Times New Roman" w:hAnsi="Times New Roman" w:eastAsia="宋体"/>
          <w:b w:val="0"/>
          <w:sz w:val="24"/>
        </w:rPr>
        <w:t>The information provided here should complement that provided under section 7 (Handling and storage)</w:t>
      </w:r>
    </w:p>
    <w:p>
      <w:pPr>
        <w:spacing w:line="360" w:lineRule="auto"/>
        <w:ind w:firstLine="480"/>
      </w:pPr>
      <w:r>
        <w:rPr>
          <w:rFonts w:ascii="Times New Roman" w:hAnsi="Times New Roman" w:eastAsia="宋体"/>
          <w:b w:val="0"/>
          <w:sz w:val="24"/>
        </w:rPr>
        <w:t>of the SDS.</w:t>
      </w:r>
    </w:p>
    <w:p>
      <w:pPr>
        <w:spacing w:line="360" w:lineRule="auto"/>
        <w:ind w:firstLine="480"/>
      </w:pPr>
      <w:r>
        <w:rPr>
          <w:rFonts w:ascii="Times New Roman" w:hAnsi="Times New Roman" w:eastAsia="宋体"/>
          <w:b w:val="0"/>
          <w:sz w:val="24"/>
        </w:rPr>
        <w:t>A4.3.8.3</w:t>
      </w:r>
    </w:p>
    <w:p>
      <w:pPr>
        <w:spacing w:line="360" w:lineRule="auto"/>
        <w:ind w:firstLine="480"/>
      </w:pPr>
      <w:r>
        <w:rPr>
          <w:rFonts w:ascii="Times New Roman" w:hAnsi="Times New Roman" w:eastAsia="宋体"/>
          <w:b w:val="0"/>
          <w:sz w:val="24"/>
        </w:rPr>
        <w:t>Individual protection measures, such as personal protective equipment (PPE)</w:t>
      </w:r>
    </w:p>
    <w:p>
      <w:pPr>
        <w:spacing w:line="360" w:lineRule="auto"/>
        <w:ind w:firstLine="480"/>
      </w:pPr>
      <w:r>
        <w:rPr>
          <w:rFonts w:ascii="Times New Roman" w:hAnsi="Times New Roman" w:eastAsia="宋体"/>
          <w:b w:val="0"/>
          <w:sz w:val="24"/>
        </w:rPr>
        <w:t>A4.3.8.3.1</w:t>
      </w:r>
    </w:p>
    <w:p>
      <w:pPr>
        <w:spacing w:line="360" w:lineRule="auto"/>
        <w:ind w:firstLine="480"/>
      </w:pPr>
      <w:r>
        <w:rPr>
          <w:rFonts w:ascii="Times New Roman" w:hAnsi="Times New Roman" w:eastAsia="宋体"/>
          <w:b w:val="0"/>
          <w:sz w:val="24"/>
        </w:rPr>
        <w:t>Consistent with good occupational hygiene practices, personal protective equipment (PPE) should be</w:t>
      </w:r>
    </w:p>
    <w:p>
      <w:pPr>
        <w:spacing w:line="360" w:lineRule="auto"/>
        <w:ind w:firstLine="480"/>
      </w:pPr>
      <w:r>
        <w:rPr>
          <w:rFonts w:ascii="Times New Roman" w:hAnsi="Times New Roman" w:eastAsia="宋体"/>
          <w:b w:val="0"/>
          <w:sz w:val="24"/>
        </w:rPr>
        <w:t>used in conjunction with other control measures, including engineering controls, ventilation and isolation. See also section</w:t>
      </w:r>
    </w:p>
    <w:p>
      <w:pPr>
        <w:spacing w:line="360" w:lineRule="auto"/>
        <w:ind w:firstLine="480"/>
      </w:pPr>
      <w:r>
        <w:rPr>
          <w:rFonts w:ascii="Times New Roman" w:hAnsi="Times New Roman" w:eastAsia="宋体"/>
          <w:b w:val="0"/>
          <w:sz w:val="24"/>
        </w:rPr>
        <w:t>5 (Fire- fighting measures) of the SDS for specific fire/chemical PPE advice.</w:t>
      </w:r>
    </w:p>
    <w:p>
      <w:pPr>
        <w:spacing w:line="360" w:lineRule="auto"/>
        <w:ind w:firstLine="480"/>
      </w:pPr>
      <w:r>
        <w:rPr>
          <w:rFonts w:ascii="Times New Roman" w:hAnsi="Times New Roman" w:eastAsia="宋体"/>
          <w:b w:val="0"/>
          <w:sz w:val="24"/>
        </w:rPr>
        <w:t>A4.3.8.3.2</w:t>
      </w:r>
    </w:p>
    <w:p>
      <w:pPr>
        <w:spacing w:line="360" w:lineRule="auto"/>
        <w:ind w:firstLine="480"/>
      </w:pPr>
      <w:r>
        <w:rPr>
          <w:rFonts w:ascii="Times New Roman" w:hAnsi="Times New Roman" w:eastAsia="宋体"/>
          <w:b w:val="0"/>
          <w:sz w:val="24"/>
        </w:rPr>
        <w:t>Identify the PPE needed to minimize the potential for illness or injury due to exposure from the</w:t>
      </w:r>
    </w:p>
    <w:p>
      <w:pPr>
        <w:spacing w:line="360" w:lineRule="auto"/>
        <w:ind w:firstLine="480"/>
      </w:pPr>
      <w:r>
        <w:rPr>
          <w:rFonts w:ascii="Times New Roman" w:hAnsi="Times New Roman" w:eastAsia="宋体"/>
          <w:b w:val="0"/>
          <w:sz w:val="24"/>
        </w:rPr>
        <w:t>substance or mixture, including:</w:t>
      </w:r>
    </w:p>
    <w:p>
      <w:pPr>
        <w:spacing w:line="360" w:lineRule="auto"/>
        <w:ind w:firstLine="480"/>
      </w:pPr>
      <w:r>
        <w:rPr>
          <w:rFonts w:ascii="Times New Roman" w:hAnsi="Times New Roman" w:eastAsia="宋体"/>
          <w:b w:val="0"/>
          <w:sz w:val="24"/>
        </w:rPr>
        <w:t>(a)</w:t>
      </w:r>
    </w:p>
    <w:p>
      <w:pPr>
        <w:spacing w:line="360" w:lineRule="auto"/>
        <w:ind w:firstLine="480"/>
      </w:pPr>
      <w:r>
        <w:rPr>
          <w:rFonts w:ascii="Times New Roman" w:hAnsi="Times New Roman" w:eastAsia="宋体"/>
          <w:b w:val="0"/>
          <w:sz w:val="24"/>
        </w:rPr>
        <w:t>Eye/face protection: specify the type of eye protection and/or face shield required, based on the</w:t>
      </w:r>
    </w:p>
    <w:p>
      <w:pPr>
        <w:spacing w:line="360" w:lineRule="auto"/>
        <w:ind w:firstLine="480"/>
      </w:pPr>
      <w:r>
        <w:rPr>
          <w:rFonts w:ascii="Times New Roman" w:hAnsi="Times New Roman" w:eastAsia="宋体"/>
          <w:b w:val="0"/>
          <w:sz w:val="24"/>
        </w:rPr>
        <w:t>hazard of the substance or mixture and potential for contact;</w:t>
      </w:r>
    </w:p>
    <w:p>
      <w:pPr>
        <w:spacing w:line="360" w:lineRule="auto"/>
        <w:ind w:firstLine="480"/>
      </w:pPr>
      <w:r>
        <w:rPr>
          <w:rFonts w:ascii="Times New Roman" w:hAnsi="Times New Roman" w:eastAsia="宋体"/>
          <w:b w:val="0"/>
          <w:sz w:val="24"/>
        </w:rPr>
        <w:t>(b)</w:t>
      </w:r>
    </w:p>
    <w:p>
      <w:pPr>
        <w:spacing w:line="360" w:lineRule="auto"/>
        <w:ind w:firstLine="480"/>
      </w:pPr>
      <w:r>
        <w:rPr>
          <w:rFonts w:ascii="Times New Roman" w:hAnsi="Times New Roman" w:eastAsia="宋体"/>
          <w:b w:val="0"/>
          <w:sz w:val="24"/>
        </w:rPr>
        <w:t>Skin protection: specify the protective equipment to be worn (e.g. type of gloves, boots, bodysuit)</w:t>
      </w:r>
    </w:p>
    <w:p>
      <w:pPr>
        <w:spacing w:line="360" w:lineRule="auto"/>
        <w:ind w:firstLine="480"/>
      </w:pPr>
      <w:r>
        <w:rPr>
          <w:rFonts w:ascii="Times New Roman" w:hAnsi="Times New Roman" w:eastAsia="宋体"/>
          <w:b w:val="0"/>
          <w:sz w:val="24"/>
        </w:rPr>
        <w:t>based on the hazards associated with the substance or mixture and the potential for contact;</w:t>
      </w:r>
    </w:p>
    <w:p>
      <w:pPr>
        <w:spacing w:line="360" w:lineRule="auto"/>
        <w:ind w:firstLine="480"/>
      </w:pPr>
      <w:r>
        <w:rPr>
          <w:rFonts w:ascii="Times New Roman" w:hAnsi="Times New Roman" w:eastAsia="宋体"/>
          <w:b w:val="0"/>
          <w:sz w:val="24"/>
        </w:rPr>
        <w:t>(c)</w:t>
      </w:r>
    </w:p>
    <w:p>
      <w:pPr>
        <w:spacing w:line="360" w:lineRule="auto"/>
        <w:ind w:firstLine="480"/>
      </w:pPr>
      <w:r>
        <w:rPr>
          <w:rFonts w:ascii="Times New Roman" w:hAnsi="Times New Roman" w:eastAsia="宋体"/>
          <w:b w:val="0"/>
          <w:sz w:val="24"/>
        </w:rPr>
        <w:t>Respiratory protection: specify appropriate types of respiratory protection based on the hazard</w:t>
      </w:r>
    </w:p>
    <w:p>
      <w:pPr>
        <w:spacing w:line="360" w:lineRule="auto"/>
        <w:ind w:firstLine="480"/>
      </w:pPr>
      <w:r>
        <w:rPr>
          <w:rFonts w:ascii="Times New Roman" w:hAnsi="Times New Roman" w:eastAsia="宋体"/>
          <w:b w:val="0"/>
          <w:sz w:val="24"/>
        </w:rPr>
        <w:t>and potential for exposure, including air-purifying respirators and the proper purifying element</w:t>
      </w:r>
    </w:p>
    <w:p>
      <w:pPr>
        <w:spacing w:line="360" w:lineRule="auto"/>
        <w:ind w:firstLine="480"/>
      </w:pPr>
      <w:r>
        <w:rPr>
          <w:rFonts w:ascii="Times New Roman" w:hAnsi="Times New Roman" w:eastAsia="宋体"/>
          <w:b w:val="0"/>
          <w:sz w:val="24"/>
        </w:rPr>
        <w:t>(cartridge or canister) or breathing apparatus; and</w:t>
      </w:r>
    </w:p>
    <w:p>
      <w:pPr>
        <w:spacing w:line="360" w:lineRule="auto"/>
        <w:ind w:firstLine="480"/>
      </w:pPr>
      <w:r>
        <w:rPr>
          <w:rFonts w:ascii="Times New Roman" w:hAnsi="Times New Roman" w:eastAsia="宋体"/>
          <w:b w:val="0"/>
          <w:sz w:val="24"/>
        </w:rPr>
        <w:t>(d)</w:t>
      </w:r>
    </w:p>
    <w:p>
      <w:pPr>
        <w:spacing w:line="360" w:lineRule="auto"/>
        <w:ind w:firstLine="480"/>
      </w:pPr>
      <w:r>
        <w:rPr>
          <w:rFonts w:ascii="Times New Roman" w:hAnsi="Times New Roman" w:eastAsia="宋体"/>
          <w:b w:val="0"/>
          <w:sz w:val="24"/>
        </w:rPr>
        <w:t>Thermal hazards: when specifying protective equipment to be worn for materials that represent</w:t>
      </w:r>
    </w:p>
    <w:p>
      <w:pPr>
        <w:spacing w:line="360" w:lineRule="auto"/>
        <w:ind w:firstLine="480"/>
      </w:pPr>
      <w:r>
        <w:rPr>
          <w:rFonts w:ascii="Times New Roman" w:hAnsi="Times New Roman" w:eastAsia="宋体"/>
          <w:b w:val="0"/>
          <w:sz w:val="24"/>
        </w:rPr>
        <w:t>a thermal hazard, special consideration should be given to the construction of the PPE.</w:t>
      </w:r>
    </w:p>
    <w:p>
      <w:pPr>
        <w:spacing w:line="360" w:lineRule="auto"/>
        <w:ind w:firstLine="480"/>
      </w:pPr>
      <w:r>
        <w:rPr>
          <w:rFonts w:ascii="Times New Roman" w:hAnsi="Times New Roman" w:eastAsia="宋体"/>
          <w:b w:val="0"/>
          <w:sz w:val="24"/>
        </w:rPr>
        <w:t>A4.3.8.3.3</w:t>
      </w:r>
    </w:p>
    <w:p>
      <w:pPr>
        <w:spacing w:line="360" w:lineRule="auto"/>
        <w:ind w:firstLine="480"/>
      </w:pPr>
      <w:r>
        <w:rPr>
          <w:rFonts w:ascii="Times New Roman" w:hAnsi="Times New Roman" w:eastAsia="宋体"/>
          <w:b w:val="0"/>
          <w:sz w:val="24"/>
        </w:rPr>
        <w:t>Special requirements may exist for gloves or other protective clothing to prevent skin, eye or lung</w:t>
      </w:r>
    </w:p>
    <w:p>
      <w:pPr>
        <w:spacing w:line="360" w:lineRule="auto"/>
        <w:ind w:firstLine="480"/>
      </w:pPr>
      <w:r>
        <w:rPr>
          <w:rFonts w:ascii="Times New Roman" w:hAnsi="Times New Roman" w:eastAsia="宋体"/>
          <w:b w:val="0"/>
          <w:sz w:val="24"/>
        </w:rPr>
        <w:t>exposure. Where relevant, this type of PPE should be clearly stated. For example, “PVC gloves” or “nitrile rubber gloves”,</w:t>
      </w:r>
    </w:p>
    <w:p>
      <w:pPr>
        <w:spacing w:line="360" w:lineRule="auto"/>
        <w:ind w:firstLine="480"/>
      </w:pPr>
      <w:r>
        <w:rPr>
          <w:rFonts w:ascii="Times New Roman" w:hAnsi="Times New Roman" w:eastAsia="宋体"/>
          <w:b w:val="0"/>
          <w:sz w:val="24"/>
        </w:rPr>
        <w:t>and thickness and breakthrough time of the glove material. Special requirements may exist for respirators.</w:t>
      </w:r>
    </w:p>
    <w:p>
      <w:pPr>
        <w:spacing w:line="360" w:lineRule="auto"/>
        <w:ind w:firstLine="480"/>
      </w:pPr>
      <w:r>
        <w:rPr>
          <w:rFonts w:ascii="Times New Roman" w:hAnsi="Times New Roman" w:eastAsia="宋体"/>
          <w:b w:val="0"/>
          <w:sz w:val="24"/>
        </w:rPr>
        <w:t>A4.3.9</w:t>
      </w:r>
    </w:p>
    <w:p>
      <w:pPr>
        <w:spacing w:line="360" w:lineRule="auto"/>
        <w:ind w:firstLine="480"/>
      </w:pPr>
      <w:r>
        <w:rPr>
          <w:rFonts w:ascii="Times New Roman" w:hAnsi="Times New Roman" w:eastAsia="宋体"/>
          <w:b w:val="0"/>
          <w:sz w:val="24"/>
        </w:rPr>
        <w:t>SECTION 9: Physical and chemical properties</w:t>
      </w:r>
    </w:p>
    <w:p>
      <w:pPr>
        <w:spacing w:line="360" w:lineRule="auto"/>
        <w:ind w:firstLine="480"/>
      </w:pPr>
      <w:r>
        <w:rPr>
          <w:rFonts w:ascii="Times New Roman" w:hAnsi="Times New Roman" w:eastAsia="宋体"/>
          <w:b w:val="0"/>
          <w:sz w:val="24"/>
        </w:rPr>
        <w:t>A4.3.9.1</w:t>
      </w:r>
    </w:p>
    <w:p>
      <w:pPr>
        <w:spacing w:line="360" w:lineRule="auto"/>
        <w:ind w:firstLine="480"/>
      </w:pPr>
      <w:r>
        <w:rPr>
          <w:rFonts w:ascii="Times New Roman" w:hAnsi="Times New Roman" w:eastAsia="宋体"/>
          <w:b w:val="0"/>
          <w:sz w:val="24"/>
        </w:rPr>
        <w:t>This section of annex 4 provides guidance for SDS preparers and is provided for information purposes.</w:t>
      </w:r>
    </w:p>
    <w:p>
      <w:pPr>
        <w:spacing w:line="360" w:lineRule="auto"/>
        <w:ind w:firstLine="480"/>
      </w:pPr>
      <w:r>
        <w:rPr>
          <w:rFonts w:ascii="Times New Roman" w:hAnsi="Times New Roman" w:eastAsia="宋体"/>
          <w:b w:val="0"/>
          <w:sz w:val="24"/>
        </w:rPr>
        <w:t>This guidance does not prescribe how this information should be presented on the SDS. The guidance is divided into three</w:t>
      </w:r>
    </w:p>
    <w:p>
      <w:pPr>
        <w:spacing w:line="360" w:lineRule="auto"/>
        <w:ind w:firstLine="480"/>
      </w:pPr>
      <w:r>
        <w:rPr>
          <w:rFonts w:ascii="Times New Roman" w:hAnsi="Times New Roman" w:eastAsia="宋体"/>
          <w:b w:val="0"/>
          <w:sz w:val="24"/>
        </w:rPr>
        <w:t>tables as described below.</w:t>
      </w:r>
    </w:p>
    <w:p>
      <w:pPr>
        <w:spacing w:line="360" w:lineRule="auto"/>
        <w:ind w:firstLine="480"/>
      </w:pPr>
      <w:r>
        <w:rPr>
          <w:rFonts w:ascii="Times New Roman" w:hAnsi="Times New Roman" w:eastAsia="宋体"/>
          <w:b w:val="0"/>
          <w:sz w:val="24"/>
        </w:rPr>
        <w:t>A4.3.9.2</w:t>
      </w:r>
    </w:p>
    <w:p>
      <w:pPr>
        <w:spacing w:line="360" w:lineRule="auto"/>
        <w:ind w:firstLine="480"/>
      </w:pPr>
      <w:r>
        <w:rPr>
          <w:rFonts w:ascii="Times New Roman" w:hAnsi="Times New Roman" w:eastAsia="宋体"/>
          <w:b w:val="0"/>
          <w:sz w:val="24"/>
        </w:rPr>
        <w:t>Table A4.3.9.1 provides guidance on the physical and chemical properties specified by chapter 1.5,</w:t>
      </w:r>
    </w:p>
    <w:p>
      <w:pPr>
        <w:spacing w:line="360" w:lineRule="auto"/>
        <w:ind w:firstLine="480"/>
      </w:pPr>
      <w:r>
        <w:rPr>
          <w:rFonts w:ascii="Times New Roman" w:hAnsi="Times New Roman" w:eastAsia="宋体"/>
          <w:b w:val="0"/>
          <w:sz w:val="24"/>
        </w:rPr>
        <w:t>table 1.5.2. The SDS preparer should clearly describe/identify the physical and chemical properties specified in</w:t>
      </w:r>
    </w:p>
    <w:p>
      <w:pPr>
        <w:spacing w:line="360" w:lineRule="auto"/>
        <w:ind w:firstLine="480"/>
      </w:pPr>
      <w:r>
        <w:rPr>
          <w:rFonts w:ascii="Times New Roman" w:hAnsi="Times New Roman" w:eastAsia="宋体"/>
          <w:b w:val="0"/>
          <w:sz w:val="24"/>
        </w:rPr>
        <w:t>table 1.5.2. In cases where the specific physical and chemical properties required by table 1.5.2 do not apply or are not</w:t>
      </w:r>
    </w:p>
    <w:p>
      <w:pPr>
        <w:spacing w:line="360" w:lineRule="auto"/>
        <w:ind w:firstLine="480"/>
      </w:pPr>
      <w:r>
        <w:rPr>
          <w:rFonts w:ascii="Times New Roman" w:hAnsi="Times New Roman" w:eastAsia="宋体"/>
          <w:b w:val="0"/>
          <w:sz w:val="24"/>
        </w:rPr>
        <w:t>available under a particular subheading, this should be clearly indicated.</w:t>
      </w:r>
    </w:p>
    <w:p>
      <w:pPr>
        <w:spacing w:line="360" w:lineRule="auto"/>
        <w:ind w:firstLine="480"/>
      </w:pPr>
      <w:r>
        <w:rPr>
          <w:rFonts w:ascii="Times New Roman" w:hAnsi="Times New Roman" w:eastAsia="宋体"/>
          <w:b w:val="0"/>
          <w:sz w:val="24"/>
        </w:rPr>
        <w:t>A4.3.9.3</w:t>
      </w:r>
    </w:p>
    <w:p>
      <w:pPr>
        <w:spacing w:line="360" w:lineRule="auto"/>
        <w:ind w:firstLine="480"/>
      </w:pPr>
      <w:r>
        <w:rPr>
          <w:rFonts w:ascii="Times New Roman" w:hAnsi="Times New Roman" w:eastAsia="宋体"/>
          <w:b w:val="0"/>
          <w:sz w:val="24"/>
        </w:rPr>
        <w:t>Table A4.3.9.2 lists properties/safety characteristics and test results that are not required on the SDS but</w:t>
      </w:r>
    </w:p>
    <w:p>
      <w:pPr>
        <w:spacing w:line="360" w:lineRule="auto"/>
        <w:ind w:firstLine="480"/>
      </w:pPr>
      <w:r>
        <w:rPr>
          <w:rFonts w:ascii="Times New Roman" w:hAnsi="Times New Roman" w:eastAsia="宋体"/>
          <w:b w:val="0"/>
          <w:sz w:val="24"/>
        </w:rPr>
        <w:t>may be useful to communicate when a substance or mixture is classified in the respective physical hazard class. Data</w:t>
      </w:r>
    </w:p>
    <w:p>
      <w:pPr>
        <w:spacing w:line="360" w:lineRule="auto"/>
        <w:ind w:firstLine="480"/>
      </w:pPr>
      <w:r>
        <w:rPr>
          <w:rFonts w:ascii="Times New Roman" w:hAnsi="Times New Roman" w:eastAsia="宋体"/>
          <w:b w:val="0"/>
          <w:sz w:val="24"/>
        </w:rPr>
        <w:t>which is deemed relevant with regard to a specific physical hazard but not resulting in classification (e.g. negative test</w:t>
      </w:r>
    </w:p>
    <w:p>
      <w:pPr>
        <w:spacing w:line="360" w:lineRule="auto"/>
        <w:ind w:firstLine="480"/>
      </w:pPr>
      <w:r>
        <w:rPr>
          <w:rFonts w:ascii="Times New Roman" w:hAnsi="Times New Roman" w:eastAsia="宋体"/>
          <w:b w:val="0"/>
          <w:sz w:val="24"/>
        </w:rPr>
        <w:t>results close to the criterion) may also be useful to communicate.</w:t>
      </w:r>
    </w:p>
    <w:p>
      <w:pPr>
        <w:spacing w:line="360" w:lineRule="auto"/>
        <w:ind w:firstLine="480"/>
      </w:pPr>
      <w:r>
        <w:rPr>
          <w:rFonts w:ascii="Times New Roman" w:hAnsi="Times New Roman" w:eastAsia="宋体"/>
          <w:b w:val="0"/>
          <w:sz w:val="24"/>
        </w:rPr>
        <w:t>A4.3.9.4</w:t>
      </w:r>
    </w:p>
    <w:p>
      <w:pPr>
        <w:spacing w:line="360" w:lineRule="auto"/>
        <w:ind w:firstLine="480"/>
      </w:pPr>
      <w:r>
        <w:rPr>
          <w:rFonts w:ascii="Times New Roman" w:hAnsi="Times New Roman" w:eastAsia="宋体"/>
          <w:b w:val="0"/>
          <w:sz w:val="24"/>
        </w:rPr>
        <w:t>Table A4.3.9.3 lists further properties/safety characteristics and test results that are not required on the</w:t>
      </w:r>
    </w:p>
    <w:p>
      <w:pPr>
        <w:spacing w:line="360" w:lineRule="auto"/>
        <w:ind w:firstLine="480"/>
      </w:pPr>
      <w:r>
        <w:rPr>
          <w:rFonts w:ascii="Times New Roman" w:hAnsi="Times New Roman" w:eastAsia="宋体"/>
          <w:b w:val="0"/>
          <w:sz w:val="24"/>
        </w:rPr>
        <w:t>SDS but may be useful to communicate for a substance or mixture. Other physical properties/safety characteristics of the</w:t>
      </w:r>
    </w:p>
    <w:p>
      <w:pPr>
        <w:spacing w:line="360" w:lineRule="auto"/>
        <w:ind w:firstLine="480"/>
      </w:pPr>
      <w:r>
        <w:rPr>
          <w:rFonts w:ascii="Times New Roman" w:hAnsi="Times New Roman" w:eastAsia="宋体"/>
          <w:b w:val="0"/>
          <w:sz w:val="24"/>
        </w:rPr>
        <w:t>substance or mixture not identified in this table may also be useful to communicate.</w:t>
      </w:r>
    </w:p>
    <w:p>
      <w:pPr>
        <w:spacing w:line="360" w:lineRule="auto"/>
        <w:ind w:firstLine="480"/>
      </w:pPr>
      <w:r>
        <w:rPr>
          <w:rFonts w:ascii="Times New Roman" w:hAnsi="Times New Roman" w:eastAsia="宋体"/>
          <w:b w:val="0"/>
          <w:sz w:val="24"/>
        </w:rPr>
        <w:t>NOTE:</w:t>
      </w:r>
    </w:p>
    <w:p>
      <w:pPr>
        <w:spacing w:line="360" w:lineRule="auto"/>
        <w:ind w:firstLine="480"/>
      </w:pPr>
      <w:r>
        <w:rPr>
          <w:rFonts w:ascii="Times New Roman" w:hAnsi="Times New Roman" w:eastAsia="宋体"/>
          <w:b w:val="0"/>
          <w:sz w:val="24"/>
        </w:rPr>
        <w:t>The properties in tables A4.3.9.1, A4.3.9.2 and A4.3.9.3 may be presented with or without any division</w:t>
      </w:r>
    </w:p>
    <w:p>
      <w:pPr>
        <w:spacing w:line="360" w:lineRule="auto"/>
        <w:ind w:firstLine="480"/>
      </w:pPr>
      <w:r>
        <w:rPr>
          <w:rFonts w:ascii="Times New Roman" w:hAnsi="Times New Roman" w:eastAsia="宋体"/>
          <w:b w:val="0"/>
          <w:sz w:val="24"/>
        </w:rPr>
        <w:t>(that is, as a list). Also the order of the properties may be adjusted if deemed appropriate.</w:t>
      </w:r>
    </w:p>
    <w:p>
      <w:pPr>
        <w:spacing w:line="360" w:lineRule="auto"/>
        <w:ind w:firstLine="480"/>
      </w:pPr>
      <w:r>
        <w:rPr>
          <w:rFonts w:ascii="Times New Roman" w:hAnsi="Times New Roman" w:eastAsia="宋体"/>
          <w:b w:val="0"/>
          <w:sz w:val="24"/>
        </w:rPr>
        <w:t>A4.3.9.5</w:t>
      </w:r>
    </w:p>
    <w:p>
      <w:pPr>
        <w:spacing w:line="360" w:lineRule="auto"/>
        <w:ind w:firstLine="480"/>
      </w:pPr>
      <w:r>
        <w:rPr>
          <w:rFonts w:ascii="Times New Roman" w:hAnsi="Times New Roman" w:eastAsia="宋体"/>
          <w:b w:val="0"/>
          <w:sz w:val="24"/>
        </w:rPr>
        <w:t>Generally, the information given in this section of the SDS should relate to standard conditions for</w:t>
      </w:r>
    </w:p>
    <w:p>
      <w:pPr>
        <w:spacing w:line="360" w:lineRule="auto"/>
        <w:ind w:firstLine="480"/>
      </w:pPr>
      <w:r>
        <w:rPr>
          <w:rFonts w:ascii="Times New Roman" w:hAnsi="Times New Roman" w:eastAsia="宋体"/>
          <w:b w:val="0"/>
          <w:sz w:val="24"/>
        </w:rPr>
        <w:t>temperature and pressure (temperature of 20 °C and absolute pressure of 101.3 kPa). If other conditions apply, these</w:t>
      </w:r>
    </w:p>
    <w:p>
      <w:pPr>
        <w:spacing w:line="360" w:lineRule="auto"/>
        <w:ind w:firstLine="480"/>
      </w:pPr>
      <w:r>
        <w:rPr>
          <w:rFonts w:ascii="Times New Roman" w:hAnsi="Times New Roman" w:eastAsia="宋体"/>
          <w:b w:val="0"/>
          <w:sz w:val="24"/>
        </w:rPr>
        <w:t>should be indicated together with the respective property.</w:t>
      </w:r>
    </w:p>
    <w:p>
      <w:pPr>
        <w:spacing w:line="360" w:lineRule="auto"/>
        <w:ind w:firstLine="480"/>
      </w:pPr>
      <w:r>
        <w:rPr>
          <w:rFonts w:ascii="Times New Roman" w:hAnsi="Times New Roman" w:eastAsia="宋体"/>
          <w:b w:val="0"/>
          <w:sz w:val="24"/>
        </w:rPr>
        <w:t>A4.3.9.6</w:t>
      </w:r>
    </w:p>
    <w:p>
      <w:pPr>
        <w:spacing w:line="360" w:lineRule="auto"/>
        <w:ind w:firstLine="480"/>
      </w:pPr>
      <w:r>
        <w:rPr>
          <w:rFonts w:ascii="Times New Roman" w:hAnsi="Times New Roman" w:eastAsia="宋体"/>
          <w:b w:val="0"/>
          <w:sz w:val="24"/>
        </w:rPr>
        <w:t>Data on the SDS should be provided in appropriate units. Where the data relate to a hazard class, the</w:t>
      </w:r>
    </w:p>
    <w:p>
      <w:pPr>
        <w:spacing w:line="360" w:lineRule="auto"/>
        <w:ind w:firstLine="480"/>
      </w:pPr>
      <w:r>
        <w:rPr>
          <w:rFonts w:ascii="Times New Roman" w:hAnsi="Times New Roman" w:eastAsia="宋体"/>
          <w:b w:val="0"/>
          <w:sz w:val="24"/>
        </w:rPr>
        <w:t>units of measure should be as specified in the criteria for that hazard class.</w:t>
      </w:r>
    </w:p>
    <w:p>
      <w:pPr>
        <w:spacing w:line="360" w:lineRule="auto"/>
        <w:ind w:firstLine="480"/>
      </w:pPr>
      <w:r>
        <w:rPr>
          <w:rFonts w:ascii="Times New Roman" w:hAnsi="Times New Roman" w:eastAsia="宋体"/>
          <w:b w:val="0"/>
          <w:sz w:val="24"/>
        </w:rPr>
        <w:t>- 418 -</w:t>
      </w:r>
    </w:p>
    <w:p>
      <w:pPr>
        <w:spacing w:line="360" w:lineRule="auto"/>
        <w:ind w:firstLine="480"/>
      </w:pPr>
      <w:r>
        <w:rPr>
          <w:rFonts w:ascii="Times New Roman" w:hAnsi="Times New Roman" w:eastAsia="宋体"/>
          <w:b w:val="0"/>
          <w:sz w:val="24"/>
        </w:rPr>
        <w:t>A4.3.9.7</w:t>
      </w:r>
    </w:p>
    <w:p>
      <w:pPr>
        <w:spacing w:line="360" w:lineRule="auto"/>
        <w:ind w:firstLine="480"/>
      </w:pPr>
      <w:r>
        <w:rPr>
          <w:rFonts w:ascii="Times New Roman" w:hAnsi="Times New Roman" w:eastAsia="宋体"/>
          <w:b w:val="0"/>
          <w:sz w:val="24"/>
        </w:rPr>
        <w:t>If relevant for the interpretation of the information or numeric value given, indicate the determination</w:t>
      </w:r>
    </w:p>
    <w:p>
      <w:pPr>
        <w:spacing w:line="360" w:lineRule="auto"/>
        <w:ind w:firstLine="480"/>
      </w:pPr>
      <w:r>
        <w:rPr>
          <w:rFonts w:ascii="Times New Roman" w:hAnsi="Times New Roman" w:eastAsia="宋体"/>
          <w:b w:val="0"/>
          <w:sz w:val="24"/>
        </w:rPr>
        <w:t>method (e.g. open-cup/closed-cup for flash point) or state whether the value was calculated.</w:t>
      </w:r>
    </w:p>
    <w:p>
      <w:pPr>
        <w:spacing w:line="360" w:lineRule="auto"/>
        <w:ind w:firstLine="480"/>
      </w:pPr>
      <w:r>
        <w:rPr>
          <w:rFonts w:ascii="Times New Roman" w:hAnsi="Times New Roman" w:eastAsia="宋体"/>
          <w:b w:val="0"/>
          <w:sz w:val="24"/>
        </w:rPr>
        <w:t>A4.3.9.8</w:t>
      </w:r>
    </w:p>
    <w:p>
      <w:pPr>
        <w:spacing w:line="360" w:lineRule="auto"/>
        <w:ind w:firstLine="480"/>
      </w:pPr>
      <w:r>
        <w:rPr>
          <w:rFonts w:ascii="Times New Roman" w:hAnsi="Times New Roman" w:eastAsia="宋体"/>
          <w:b w:val="0"/>
          <w:sz w:val="24"/>
        </w:rPr>
        <w:t>In the case of a mixture, where valid data is available for the mixture as a whole, it should be provided.</w:t>
      </w:r>
    </w:p>
    <w:p>
      <w:pPr>
        <w:spacing w:line="360" w:lineRule="auto"/>
        <w:ind w:firstLine="480"/>
      </w:pPr>
      <w:r>
        <w:rPr>
          <w:rFonts w:ascii="Times New Roman" w:hAnsi="Times New Roman" w:eastAsia="宋体"/>
          <w:b w:val="0"/>
          <w:sz w:val="24"/>
        </w:rPr>
        <w:t>When data for the mixture as a whole cannot be provided, data for the most relevant ingredient(s) may be provided, and</w:t>
      </w:r>
    </w:p>
    <w:p>
      <w:pPr>
        <w:spacing w:line="360" w:lineRule="auto"/>
        <w:ind w:firstLine="480"/>
      </w:pPr>
      <w:r>
        <w:rPr>
          <w:rFonts w:ascii="Times New Roman" w:hAnsi="Times New Roman" w:eastAsia="宋体"/>
          <w:b w:val="0"/>
          <w:sz w:val="24"/>
        </w:rPr>
        <w:t>this data should clearly indicate to which ingredient(s) the data apply.</w:t>
      </w:r>
    </w:p>
    <w:p>
      <w:pPr>
        <w:spacing w:line="360" w:lineRule="auto"/>
        <w:ind w:firstLine="480"/>
      </w:pPr>
      <w:r>
        <w:rPr>
          <w:rFonts w:ascii="Times New Roman" w:hAnsi="Times New Roman" w:eastAsia="宋体"/>
          <w:b w:val="0"/>
          <w:sz w:val="24"/>
        </w:rPr>
        <w:t>A4.3.9.9</w:t>
      </w:r>
    </w:p>
    <w:p>
      <w:pPr>
        <w:spacing w:line="360" w:lineRule="auto"/>
        <w:ind w:firstLine="480"/>
      </w:pPr>
      <w:r>
        <w:rPr>
          <w:rFonts w:ascii="Times New Roman" w:hAnsi="Times New Roman" w:eastAsia="宋体"/>
          <w:b w:val="0"/>
          <w:sz w:val="24"/>
        </w:rPr>
        <w:t>Other appropriate physical or chemical parameters or safety characteristics, in addition to those listed</w:t>
      </w:r>
    </w:p>
    <w:p>
      <w:pPr>
        <w:spacing w:line="360" w:lineRule="auto"/>
        <w:ind w:firstLine="480"/>
      </w:pPr>
      <w:r>
        <w:rPr>
          <w:rFonts w:ascii="Times New Roman" w:hAnsi="Times New Roman" w:eastAsia="宋体"/>
          <w:b w:val="0"/>
          <w:sz w:val="24"/>
        </w:rPr>
        <w:t>below, may also be included in this section of the SDS.</w:t>
      </w:r>
    </w:p>
    <w:p>
      <w:pPr>
        <w:spacing w:line="360" w:lineRule="auto"/>
        <w:ind w:firstLine="480"/>
      </w:pPr>
      <w:r>
        <w:rPr>
          <w:rFonts w:ascii="Times New Roman" w:hAnsi="Times New Roman" w:eastAsia="宋体"/>
          <w:b w:val="0"/>
          <w:sz w:val="24"/>
        </w:rPr>
        <w:t>Table A4.3.9.1: Basic physical and chemical properties</w:t>
      </w:r>
    </w:p>
    <w:p>
      <w:pPr>
        <w:spacing w:line="360" w:lineRule="auto"/>
        <w:ind w:firstLine="480"/>
      </w:pPr>
      <w:r>
        <w:rPr>
          <w:rFonts w:ascii="Times New Roman" w:hAnsi="Times New Roman" w:eastAsia="宋体"/>
          <w:b w:val="0"/>
          <w:sz w:val="24"/>
        </w:rPr>
        <w:t>This table lists basic physical and chemical properties and safety characteristics. Relevant information</w:t>
      </w:r>
    </w:p>
    <w:p>
      <w:pPr>
        <w:spacing w:line="360" w:lineRule="auto"/>
        <w:ind w:firstLine="480"/>
      </w:pPr>
      <w:r>
        <w:rPr>
          <w:rFonts w:ascii="Times New Roman" w:hAnsi="Times New Roman" w:eastAsia="宋体"/>
          <w:b w:val="0"/>
          <w:sz w:val="24"/>
        </w:rPr>
        <w:t>as required should be indicated for every property listed in this table, such as a short description, value(s), unit, conditions</w:t>
      </w:r>
    </w:p>
    <w:p>
      <w:pPr>
        <w:spacing w:line="360" w:lineRule="auto"/>
        <w:ind w:firstLine="480"/>
      </w:pPr>
      <w:r>
        <w:rPr>
          <w:rFonts w:ascii="Times New Roman" w:hAnsi="Times New Roman" w:eastAsia="宋体"/>
          <w:b w:val="0"/>
          <w:sz w:val="24"/>
        </w:rPr>
        <w:t>(e.g. temperature, pressure), method, each as appropriate.</w:t>
      </w:r>
    </w:p>
    <w:p>
      <w:pPr>
        <w:spacing w:line="360" w:lineRule="auto"/>
        <w:ind w:firstLine="480"/>
      </w:pPr>
      <w:r>
        <w:rPr>
          <w:rFonts w:ascii="Times New Roman" w:hAnsi="Times New Roman" w:eastAsia="宋体"/>
          <w:b w:val="0"/>
          <w:sz w:val="24"/>
        </w:rPr>
        <w:t>If specific properties or safety characteristics do not apply (based on the respective information about</w:t>
      </w:r>
    </w:p>
    <w:p>
      <w:pPr>
        <w:spacing w:line="360" w:lineRule="auto"/>
        <w:ind w:firstLine="480"/>
      </w:pPr>
      <w:r>
        <w:rPr>
          <w:rFonts w:ascii="Times New Roman" w:hAnsi="Times New Roman" w:eastAsia="宋体"/>
          <w:b w:val="0"/>
          <w:sz w:val="24"/>
        </w:rPr>
        <w:t>applicability in the column “Remarks/Guidance”) they should still be listed in the SDS with the statement “not</w:t>
      </w:r>
    </w:p>
    <w:p>
      <w:pPr>
        <w:spacing w:line="360" w:lineRule="auto"/>
        <w:ind w:firstLine="480"/>
      </w:pPr>
      <w:r>
        <w:rPr>
          <w:rFonts w:ascii="Times New Roman" w:hAnsi="Times New Roman" w:eastAsia="宋体"/>
          <w:b w:val="0"/>
          <w:sz w:val="24"/>
        </w:rPr>
        <w:t>applicable”.</w:t>
      </w:r>
    </w:p>
    <w:p>
      <w:pPr>
        <w:spacing w:line="360" w:lineRule="auto"/>
        <w:ind w:firstLine="480"/>
      </w:pPr>
      <w:r>
        <w:rPr>
          <w:rFonts w:ascii="Times New Roman" w:hAnsi="Times New Roman" w:eastAsia="宋体"/>
          <w:b w:val="0"/>
          <w:sz w:val="24"/>
        </w:rPr>
        <w:t>If information on specific properties or safety characteristics is not available, they should still be listed</w:t>
      </w:r>
    </w:p>
    <w:p>
      <w:pPr>
        <w:spacing w:line="360" w:lineRule="auto"/>
        <w:ind w:firstLine="480"/>
      </w:pPr>
      <w:r>
        <w:rPr>
          <w:rFonts w:ascii="Times New Roman" w:hAnsi="Times New Roman" w:eastAsia="宋体"/>
          <w:b w:val="0"/>
          <w:sz w:val="24"/>
        </w:rPr>
        <w:t>in the SDS with the statement “not available”. It is recommended that, where appropriate, a short explanation is included</w:t>
      </w:r>
    </w:p>
    <w:p>
      <w:pPr>
        <w:spacing w:line="360" w:lineRule="auto"/>
        <w:ind w:firstLine="480"/>
      </w:pPr>
      <w:r>
        <w:rPr>
          <w:rFonts w:ascii="Times New Roman" w:hAnsi="Times New Roman" w:eastAsia="宋体"/>
          <w:b w:val="0"/>
          <w:sz w:val="24"/>
        </w:rPr>
        <w:t>as to why the data is not available, e.g. “melts”, “decomposes”, “dissolves”.</w:t>
      </w:r>
    </w:p>
    <w:p>
      <w:pPr>
        <w:spacing w:line="360" w:lineRule="auto"/>
        <w:ind w:firstLine="480"/>
      </w:pPr>
      <w:r>
        <w:rPr>
          <w:rFonts w:ascii="Times New Roman" w:hAnsi="Times New Roman" w:eastAsia="宋体"/>
          <w:b w:val="0"/>
          <w:sz w:val="24"/>
        </w:rPr>
        <w:t>Property</w:t>
      </w:r>
    </w:p>
    <w:p>
      <w:pPr>
        <w:spacing w:line="360" w:lineRule="auto"/>
        <w:ind w:firstLine="480"/>
      </w:pPr>
      <w:r>
        <w:rPr>
          <w:rFonts w:ascii="Times New Roman" w:hAnsi="Times New Roman" w:eastAsia="宋体"/>
          <w:b w:val="0"/>
          <w:sz w:val="24"/>
        </w:rPr>
        <w:t>Remarks/Guidance</w:t>
      </w:r>
    </w:p>
    <w:p>
      <w:pPr>
        <w:spacing w:line="360" w:lineRule="auto"/>
        <w:ind w:firstLine="480"/>
      </w:pPr>
      <w:r>
        <w:rPr>
          <w:rFonts w:ascii="Times New Roman" w:hAnsi="Times New Roman" w:eastAsia="宋体"/>
          <w:b w:val="0"/>
          <w:sz w:val="24"/>
        </w:rPr>
        <w:t>Physical state</w:t>
      </w:r>
    </w:p>
    <w:p>
      <w:pPr>
        <w:spacing w:line="360" w:lineRule="auto"/>
        <w:ind w:firstLine="480"/>
      </w:pPr>
      <w:r>
        <w:rPr>
          <w:rFonts w:ascii="Times New Roman" w:hAnsi="Times New Roman" w:eastAsia="宋体"/>
          <w:b w:val="0"/>
          <w:sz w:val="24"/>
        </w:rPr>
        <w:t>− generally at standard conditions</w:t>
      </w:r>
    </w:p>
    <w:p>
      <w:pPr>
        <w:spacing w:line="360" w:lineRule="auto"/>
        <w:ind w:firstLine="480"/>
      </w:pPr>
      <w:r>
        <w:rPr>
          <w:rFonts w:ascii="Times New Roman" w:hAnsi="Times New Roman" w:eastAsia="宋体"/>
          <w:b w:val="0"/>
          <w:sz w:val="24"/>
        </w:rPr>
        <w:t>− for definitions for gas, liquid and solid see chapter 1.2</w:t>
      </w:r>
    </w:p>
    <w:p>
      <w:pPr>
        <w:spacing w:line="360" w:lineRule="auto"/>
        <w:ind w:firstLine="480"/>
      </w:pPr>
      <w:r>
        <w:rPr>
          <w:rFonts w:ascii="Times New Roman" w:hAnsi="Times New Roman" w:eastAsia="宋体"/>
          <w:b w:val="0"/>
          <w:sz w:val="24"/>
        </w:rPr>
        <w:t>Colour</w:t>
      </w:r>
    </w:p>
    <w:p>
      <w:pPr>
        <w:spacing w:line="360" w:lineRule="auto"/>
        <w:ind w:firstLine="480"/>
      </w:pPr>
      <w:r>
        <w:rPr>
          <w:rFonts w:ascii="Times New Roman" w:hAnsi="Times New Roman" w:eastAsia="宋体"/>
          <w:b w:val="0"/>
          <w:sz w:val="24"/>
        </w:rPr>
        <w:t>− indicate the colour of the substance or mixture as supplied</w:t>
      </w:r>
    </w:p>
    <w:p>
      <w:pPr>
        <w:spacing w:line="360" w:lineRule="auto"/>
        <w:ind w:firstLine="480"/>
      </w:pPr>
      <w:r>
        <w:rPr>
          <w:rFonts w:ascii="Times New Roman" w:hAnsi="Times New Roman" w:eastAsia="宋体"/>
          <w:b w:val="0"/>
          <w:sz w:val="24"/>
        </w:rPr>
        <w:t>− in cases where one SDS is used to cover variants of a mixture which may have different</w:t>
      </w:r>
    </w:p>
    <w:p>
      <w:pPr>
        <w:spacing w:line="360" w:lineRule="auto"/>
        <w:ind w:firstLine="480"/>
      </w:pPr>
      <w:r>
        <w:rPr>
          <w:rFonts w:ascii="Times New Roman" w:hAnsi="Times New Roman" w:eastAsia="宋体"/>
          <w:b w:val="0"/>
          <w:sz w:val="24"/>
        </w:rPr>
        <w:t>colours the term 'various' can be used to describe the colour (see A4.3.1.1 for an SDS for</w:t>
      </w:r>
    </w:p>
    <w:p>
      <w:pPr>
        <w:spacing w:line="360" w:lineRule="auto"/>
        <w:ind w:firstLine="480"/>
      </w:pPr>
      <w:r>
        <w:rPr>
          <w:rFonts w:ascii="Times New Roman" w:hAnsi="Times New Roman" w:eastAsia="宋体"/>
          <w:b w:val="0"/>
          <w:sz w:val="24"/>
        </w:rPr>
        <w:t>variants of a mixture)</w:t>
      </w:r>
    </w:p>
    <w:p>
      <w:pPr>
        <w:spacing w:line="360" w:lineRule="auto"/>
        <w:ind w:firstLine="480"/>
      </w:pPr>
      <w:r>
        <w:rPr>
          <w:rFonts w:ascii="Times New Roman" w:hAnsi="Times New Roman" w:eastAsia="宋体"/>
          <w:b w:val="0"/>
          <w:sz w:val="24"/>
        </w:rPr>
        <w:t>Odour</w:t>
      </w:r>
    </w:p>
    <w:p>
      <w:pPr>
        <w:spacing w:line="360" w:lineRule="auto"/>
        <w:ind w:firstLine="480"/>
      </w:pPr>
      <w:r>
        <w:rPr>
          <w:rFonts w:ascii="Times New Roman" w:hAnsi="Times New Roman" w:eastAsia="宋体"/>
          <w:b w:val="0"/>
          <w:sz w:val="24"/>
        </w:rPr>
        <w:t>− give a qualitative description of the odour if it is well-known or described in the literature</w:t>
      </w:r>
    </w:p>
    <w:p>
      <w:pPr>
        <w:spacing w:line="360" w:lineRule="auto"/>
        <w:ind w:firstLine="480"/>
      </w:pPr>
      <w:r>
        <w:rPr>
          <w:rFonts w:ascii="Times New Roman" w:hAnsi="Times New Roman" w:eastAsia="宋体"/>
          <w:b w:val="0"/>
          <w:sz w:val="24"/>
        </w:rPr>
        <w:t>− if available, indicate the odour threshold (qualitatively or quantitatively)</w:t>
      </w:r>
    </w:p>
    <w:p>
      <w:pPr>
        <w:spacing w:line="360" w:lineRule="auto"/>
        <w:ind w:firstLine="480"/>
      </w:pPr>
      <w:r>
        <w:rPr>
          <w:rFonts w:ascii="Times New Roman" w:hAnsi="Times New Roman" w:eastAsia="宋体"/>
          <w:b w:val="0"/>
          <w:sz w:val="24"/>
        </w:rPr>
        <w:t>Melting point/</w:t>
      </w:r>
    </w:p>
    <w:p>
      <w:pPr>
        <w:spacing w:line="360" w:lineRule="auto"/>
        <w:ind w:firstLine="480"/>
      </w:pPr>
      <w:r>
        <w:rPr>
          <w:rFonts w:ascii="Times New Roman" w:hAnsi="Times New Roman" w:eastAsia="宋体"/>
          <w:b w:val="0"/>
          <w:sz w:val="24"/>
        </w:rPr>
        <w:t>freezing point</w:t>
      </w:r>
    </w:p>
    <w:p>
      <w:pPr>
        <w:spacing w:line="360" w:lineRule="auto"/>
        <w:ind w:firstLine="480"/>
      </w:pPr>
      <w:r>
        <w:rPr>
          <w:rFonts w:ascii="Times New Roman" w:hAnsi="Times New Roman" w:eastAsia="宋体"/>
          <w:b w:val="0"/>
          <w:sz w:val="24"/>
        </w:rPr>
        <w:t>− not applicable to gases</w:t>
      </w:r>
    </w:p>
    <w:p>
      <w:pPr>
        <w:spacing w:line="360" w:lineRule="auto"/>
        <w:ind w:firstLine="480"/>
      </w:pPr>
      <w:r>
        <w:rPr>
          <w:rFonts w:ascii="Times New Roman" w:hAnsi="Times New Roman" w:eastAsia="宋体"/>
          <w:b w:val="0"/>
          <w:sz w:val="24"/>
        </w:rPr>
        <w:t>− at standard pressure</w:t>
      </w:r>
    </w:p>
    <w:p>
      <w:pPr>
        <w:spacing w:line="360" w:lineRule="auto"/>
        <w:ind w:firstLine="480"/>
      </w:pPr>
      <w:r>
        <w:rPr>
          <w:rFonts w:ascii="Times New Roman" w:hAnsi="Times New Roman" w:eastAsia="宋体"/>
          <w:b w:val="0"/>
          <w:sz w:val="24"/>
        </w:rPr>
        <w:t>− indicate up to which temperature no melting point was observed in case the melting point is</w:t>
      </w:r>
    </w:p>
    <w:p>
      <w:pPr>
        <w:spacing w:line="360" w:lineRule="auto"/>
        <w:ind w:firstLine="480"/>
      </w:pPr>
      <w:r>
        <w:rPr>
          <w:rFonts w:ascii="Times New Roman" w:hAnsi="Times New Roman" w:eastAsia="宋体"/>
          <w:b w:val="0"/>
          <w:sz w:val="24"/>
        </w:rPr>
        <w:t>above the measuring range of the method</w:t>
      </w:r>
    </w:p>
    <w:p>
      <w:pPr>
        <w:spacing w:line="360" w:lineRule="auto"/>
        <w:ind w:firstLine="480"/>
      </w:pPr>
      <w:r>
        <w:rPr>
          <w:rFonts w:ascii="Times New Roman" w:hAnsi="Times New Roman" w:eastAsia="宋体"/>
          <w:b w:val="0"/>
          <w:sz w:val="24"/>
        </w:rPr>
        <w:t>− indicate if decomposition or sublimation occurs prior to or during melting</w:t>
      </w:r>
    </w:p>
    <w:p>
      <w:pPr>
        <w:spacing w:line="360" w:lineRule="auto"/>
        <w:ind w:firstLine="480"/>
      </w:pPr>
      <w:r>
        <w:rPr>
          <w:rFonts w:ascii="Times New Roman" w:hAnsi="Times New Roman" w:eastAsia="宋体"/>
          <w:b w:val="0"/>
          <w:sz w:val="24"/>
        </w:rPr>
        <w:t>− for waxes and pastes the softening point/range may be indicated instead</w:t>
      </w:r>
    </w:p>
    <w:p>
      <w:pPr>
        <w:spacing w:line="360" w:lineRule="auto"/>
        <w:ind w:firstLine="480"/>
      </w:pPr>
      <w:r>
        <w:rPr>
          <w:rFonts w:ascii="Times New Roman" w:hAnsi="Times New Roman" w:eastAsia="宋体"/>
          <w:b w:val="0"/>
          <w:sz w:val="24"/>
        </w:rPr>
        <w:t>− for mixtures indicate if it is technically not possible to determine the melting point/freezing</w:t>
      </w:r>
    </w:p>
    <w:p>
      <w:pPr>
        <w:spacing w:line="360" w:lineRule="auto"/>
        <w:ind w:firstLine="480"/>
      </w:pPr>
      <w:r>
        <w:rPr>
          <w:rFonts w:ascii="Times New Roman" w:hAnsi="Times New Roman" w:eastAsia="宋体"/>
          <w:b w:val="0"/>
          <w:sz w:val="24"/>
        </w:rPr>
        <w:t>point</w:t>
      </w:r>
    </w:p>
    <w:p>
      <w:pPr>
        <w:spacing w:line="360" w:lineRule="auto"/>
        <w:ind w:firstLine="480"/>
      </w:pPr>
      <w:r>
        <w:rPr>
          <w:rFonts w:ascii="Times New Roman" w:hAnsi="Times New Roman" w:eastAsia="宋体"/>
          <w:b w:val="0"/>
          <w:sz w:val="24"/>
        </w:rPr>
        <w:t>Boiling point or</w:t>
      </w:r>
    </w:p>
    <w:p>
      <w:pPr>
        <w:spacing w:line="360" w:lineRule="auto"/>
        <w:ind w:firstLine="480"/>
      </w:pPr>
      <w:r>
        <w:rPr>
          <w:rFonts w:ascii="Times New Roman" w:hAnsi="Times New Roman" w:eastAsia="宋体"/>
          <w:b w:val="0"/>
          <w:sz w:val="24"/>
        </w:rPr>
        <w:t>initial boiling point</w:t>
      </w:r>
    </w:p>
    <w:p>
      <w:pPr>
        <w:spacing w:line="360" w:lineRule="auto"/>
        <w:ind w:firstLine="480"/>
      </w:pPr>
      <w:r>
        <w:rPr>
          <w:rFonts w:ascii="Times New Roman" w:hAnsi="Times New Roman" w:eastAsia="宋体"/>
          <w:b w:val="0"/>
          <w:sz w:val="24"/>
        </w:rPr>
        <w:t>and boiling range</w:t>
      </w:r>
    </w:p>
    <w:p>
      <w:pPr>
        <w:spacing w:line="360" w:lineRule="auto"/>
        <w:ind w:firstLine="480"/>
      </w:pPr>
      <w:r>
        <w:rPr>
          <w:rFonts w:ascii="Times New Roman" w:hAnsi="Times New Roman" w:eastAsia="宋体"/>
          <w:b w:val="0"/>
          <w:sz w:val="24"/>
        </w:rPr>
        <w:t>− generally at standard pressure (a boiling point at lower pressure might be indicated in case</w:t>
      </w:r>
    </w:p>
    <w:p>
      <w:pPr>
        <w:spacing w:line="360" w:lineRule="auto"/>
        <w:ind w:firstLine="480"/>
      </w:pPr>
      <w:r>
        <w:rPr>
          <w:rFonts w:ascii="Times New Roman" w:hAnsi="Times New Roman" w:eastAsia="宋体"/>
          <w:b w:val="0"/>
          <w:sz w:val="24"/>
        </w:rPr>
        <w:t>the boiling point is very high or decomposition occurs before boiling)</w:t>
      </w:r>
    </w:p>
    <w:p>
      <w:pPr>
        <w:spacing w:line="360" w:lineRule="auto"/>
        <w:ind w:firstLine="480"/>
      </w:pPr>
      <w:r>
        <w:rPr>
          <w:rFonts w:ascii="Times New Roman" w:hAnsi="Times New Roman" w:eastAsia="宋体"/>
          <w:b w:val="0"/>
          <w:sz w:val="24"/>
        </w:rPr>
        <w:t>− indicate up to which temperature no boiling point was observed in case the boiling point is</w:t>
      </w:r>
    </w:p>
    <w:p>
      <w:pPr>
        <w:spacing w:line="360" w:lineRule="auto"/>
        <w:ind w:firstLine="480"/>
      </w:pPr>
      <w:r>
        <w:rPr>
          <w:rFonts w:ascii="Times New Roman" w:hAnsi="Times New Roman" w:eastAsia="宋体"/>
          <w:b w:val="0"/>
          <w:sz w:val="24"/>
        </w:rPr>
        <w:t>above the measuring range of the method</w:t>
      </w:r>
    </w:p>
    <w:p>
      <w:pPr>
        <w:spacing w:line="360" w:lineRule="auto"/>
        <w:ind w:firstLine="480"/>
      </w:pPr>
      <w:r>
        <w:rPr>
          <w:rFonts w:ascii="Times New Roman" w:hAnsi="Times New Roman" w:eastAsia="宋体"/>
          <w:b w:val="0"/>
          <w:sz w:val="24"/>
        </w:rPr>
        <w:t>− indicate if decomposition occurs prior to or during boiling</w:t>
      </w:r>
    </w:p>
    <w:p>
      <w:pPr>
        <w:spacing w:line="360" w:lineRule="auto"/>
        <w:ind w:firstLine="480"/>
      </w:pPr>
      <w:r>
        <w:rPr>
          <w:rFonts w:ascii="Times New Roman" w:hAnsi="Times New Roman" w:eastAsia="宋体"/>
          <w:b w:val="0"/>
          <w:sz w:val="24"/>
        </w:rPr>
        <w:t>− for mixtures indicate if it is technically not possible to determine the boiling point or range;</w:t>
      </w:r>
    </w:p>
    <w:p>
      <w:pPr>
        <w:spacing w:line="360" w:lineRule="auto"/>
        <w:ind w:firstLine="480"/>
      </w:pPr>
      <w:r>
        <w:rPr>
          <w:rFonts w:ascii="Times New Roman" w:hAnsi="Times New Roman" w:eastAsia="宋体"/>
          <w:b w:val="0"/>
          <w:sz w:val="24"/>
        </w:rPr>
        <w:t>in that case indicate also the boiling point of the lowest boiling ingredient</w:t>
      </w:r>
    </w:p>
    <w:p>
      <w:pPr>
        <w:spacing w:line="360" w:lineRule="auto"/>
        <w:ind w:firstLine="480"/>
      </w:pPr>
      <w:r>
        <w:rPr>
          <w:rFonts w:ascii="Times New Roman" w:hAnsi="Times New Roman" w:eastAsia="宋体"/>
          <w:b w:val="0"/>
          <w:sz w:val="24"/>
        </w:rPr>
        <w:t>Flammability</w:t>
      </w:r>
    </w:p>
    <w:p>
      <w:pPr>
        <w:spacing w:line="360" w:lineRule="auto"/>
        <w:ind w:firstLine="480"/>
      </w:pPr>
      <w:r>
        <w:rPr>
          <w:rFonts w:ascii="Times New Roman" w:hAnsi="Times New Roman" w:eastAsia="宋体"/>
          <w:b w:val="0"/>
          <w:sz w:val="24"/>
        </w:rPr>
        <w:t>− applicable to gases, liquids and solids</w:t>
      </w:r>
    </w:p>
    <w:p>
      <w:pPr>
        <w:spacing w:line="360" w:lineRule="auto"/>
        <w:ind w:firstLine="480"/>
      </w:pPr>
      <w:r>
        <w:rPr>
          <w:rFonts w:ascii="Times New Roman" w:hAnsi="Times New Roman" w:eastAsia="宋体"/>
          <w:b w:val="0"/>
          <w:sz w:val="24"/>
        </w:rPr>
        <w:t>− indicate whether the substance or mixture is ignitable (capable of catching on fire or being</w:t>
      </w:r>
    </w:p>
    <w:p>
      <w:pPr>
        <w:spacing w:line="360" w:lineRule="auto"/>
        <w:ind w:firstLine="480"/>
      </w:pPr>
      <w:r>
        <w:rPr>
          <w:rFonts w:ascii="Times New Roman" w:hAnsi="Times New Roman" w:eastAsia="宋体"/>
          <w:b w:val="0"/>
          <w:sz w:val="24"/>
        </w:rPr>
        <w:t>set on fire, even if not classified for flammability)</w:t>
      </w:r>
    </w:p>
    <w:p>
      <w:pPr>
        <w:spacing w:line="360" w:lineRule="auto"/>
        <w:ind w:firstLine="480"/>
      </w:pPr>
      <w:r>
        <w:rPr>
          <w:rFonts w:ascii="Times New Roman" w:hAnsi="Times New Roman" w:eastAsia="宋体"/>
          <w:b w:val="0"/>
          <w:sz w:val="24"/>
        </w:rPr>
        <w:t>− if available and appropriate, further information may be indicated in addition, e.g.</w:t>
      </w:r>
    </w:p>
    <w:p>
      <w:pPr>
        <w:spacing w:line="360" w:lineRule="auto"/>
        <w:ind w:firstLine="480"/>
      </w:pPr>
      <w:r>
        <w:rPr>
          <w:rFonts w:ascii="Times New Roman" w:hAnsi="Times New Roman" w:eastAsia="宋体"/>
          <w:b w:val="0"/>
          <w:sz w:val="24"/>
        </w:rPr>
        <w:t>• whether the effect of ignition is other than a normal combustion (e.g. an explosion)</w:t>
      </w:r>
    </w:p>
    <w:p>
      <w:pPr>
        <w:spacing w:line="360" w:lineRule="auto"/>
        <w:ind w:firstLine="480"/>
      </w:pPr>
      <w:r>
        <w:rPr>
          <w:rFonts w:ascii="Times New Roman" w:hAnsi="Times New Roman" w:eastAsia="宋体"/>
          <w:b w:val="0"/>
          <w:sz w:val="24"/>
        </w:rPr>
        <w:t>• ignitability under non-standard conditions</w:t>
      </w:r>
    </w:p>
    <w:p>
      <w:pPr>
        <w:spacing w:line="360" w:lineRule="auto"/>
        <w:ind w:firstLine="480"/>
      </w:pPr>
      <w:r>
        <w:rPr>
          <w:rFonts w:ascii="Times New Roman" w:hAnsi="Times New Roman" w:eastAsia="宋体"/>
          <w:b w:val="0"/>
          <w:sz w:val="24"/>
        </w:rPr>
        <w:t>− more specific information on the flammability may be indicated based on the respective</w:t>
      </w:r>
    </w:p>
    <w:p>
      <w:pPr>
        <w:spacing w:line="360" w:lineRule="auto"/>
        <w:ind w:firstLine="480"/>
      </w:pPr>
      <w:r>
        <w:rPr>
          <w:rFonts w:ascii="Times New Roman" w:hAnsi="Times New Roman" w:eastAsia="宋体"/>
          <w:b w:val="0"/>
          <w:sz w:val="24"/>
        </w:rPr>
        <w:t>hazard classification in accordance with table A4.3.9.2</w:t>
      </w:r>
    </w:p>
    <w:p>
      <w:pPr>
        <w:spacing w:line="360" w:lineRule="auto"/>
        <w:ind w:firstLine="480"/>
      </w:pPr>
      <w:r>
        <w:rPr>
          <w:rFonts w:ascii="Times New Roman" w:hAnsi="Times New Roman" w:eastAsia="宋体"/>
          <w:b w:val="0"/>
          <w:sz w:val="24"/>
        </w:rPr>
        <w:t>- 419 -</w:t>
      </w:r>
    </w:p>
    <w:p>
      <w:pPr>
        <w:spacing w:line="360" w:lineRule="auto"/>
        <w:ind w:firstLine="480"/>
      </w:pPr>
      <w:r>
        <w:rPr>
          <w:rFonts w:ascii="Times New Roman" w:hAnsi="Times New Roman" w:eastAsia="宋体"/>
          <w:b w:val="0"/>
          <w:sz w:val="24"/>
        </w:rPr>
        <w:t>Table A4.3.9.1: Basic physical and chemical properties (cont’d)</w:t>
      </w:r>
    </w:p>
    <w:p>
      <w:pPr>
        <w:spacing w:line="360" w:lineRule="auto"/>
        <w:ind w:firstLine="480"/>
      </w:pPr>
      <w:r>
        <w:rPr>
          <w:rFonts w:ascii="Times New Roman" w:hAnsi="Times New Roman" w:eastAsia="宋体"/>
          <w:b w:val="0"/>
          <w:sz w:val="24"/>
        </w:rPr>
        <w:t>Property</w:t>
      </w:r>
    </w:p>
    <w:p>
      <w:pPr>
        <w:spacing w:line="360" w:lineRule="auto"/>
        <w:ind w:firstLine="480"/>
      </w:pPr>
      <w:r>
        <w:rPr>
          <w:rFonts w:ascii="Times New Roman" w:hAnsi="Times New Roman" w:eastAsia="宋体"/>
          <w:b w:val="0"/>
          <w:sz w:val="24"/>
        </w:rPr>
        <w:t>Remarks/Guidance</w:t>
      </w:r>
    </w:p>
    <w:p>
      <w:pPr>
        <w:spacing w:line="360" w:lineRule="auto"/>
        <w:ind w:firstLine="480"/>
      </w:pPr>
      <w:r>
        <w:rPr>
          <w:rFonts w:ascii="Times New Roman" w:hAnsi="Times New Roman" w:eastAsia="宋体"/>
          <w:b w:val="0"/>
          <w:sz w:val="24"/>
        </w:rPr>
        <w:t>Lower and upper</w:t>
      </w:r>
    </w:p>
    <w:p>
      <w:pPr>
        <w:spacing w:line="360" w:lineRule="auto"/>
        <w:ind w:firstLine="480"/>
      </w:pPr>
      <w:r>
        <w:rPr>
          <w:rFonts w:ascii="Times New Roman" w:hAnsi="Times New Roman" w:eastAsia="宋体"/>
          <w:b w:val="0"/>
          <w:sz w:val="24"/>
        </w:rPr>
        <w:t>explosion limit/</w:t>
      </w:r>
    </w:p>
    <w:p>
      <w:pPr>
        <w:spacing w:line="360" w:lineRule="auto"/>
        <w:ind w:firstLine="480"/>
      </w:pPr>
      <w:r>
        <w:rPr>
          <w:rFonts w:ascii="Times New Roman" w:hAnsi="Times New Roman" w:eastAsia="宋体"/>
          <w:b w:val="0"/>
          <w:sz w:val="24"/>
        </w:rPr>
        <w:t>flammability limit</w:t>
      </w:r>
    </w:p>
    <w:p>
      <w:pPr>
        <w:spacing w:line="360" w:lineRule="auto"/>
        <w:ind w:firstLine="480"/>
      </w:pPr>
      <w:r>
        <w:rPr>
          <w:rFonts w:ascii="Times New Roman" w:hAnsi="Times New Roman" w:eastAsia="宋体"/>
          <w:b w:val="0"/>
          <w:sz w:val="24"/>
        </w:rPr>
        <w:t>− not applicable to solids</w:t>
      </w:r>
    </w:p>
    <w:p>
      <w:pPr>
        <w:spacing w:line="360" w:lineRule="auto"/>
        <w:ind w:firstLine="480"/>
      </w:pPr>
      <w:r>
        <w:rPr>
          <w:rFonts w:ascii="Times New Roman" w:hAnsi="Times New Roman" w:eastAsia="宋体"/>
          <w:b w:val="0"/>
          <w:sz w:val="24"/>
        </w:rPr>
        <w:t>− for flammable liquids indicate at least the lower explosion limit:</w:t>
      </w:r>
    </w:p>
    <w:p>
      <w:pPr>
        <w:spacing w:line="360" w:lineRule="auto"/>
        <w:ind w:firstLine="480"/>
      </w:pPr>
      <w:r>
        <w:rPr>
          <w:rFonts w:ascii="Times New Roman" w:hAnsi="Times New Roman" w:eastAsia="宋体"/>
          <w:b w:val="0"/>
          <w:sz w:val="24"/>
        </w:rPr>
        <w:t>• if the flash point is approximately &gt; -25°C, it might be not possible to determine the</w:t>
      </w:r>
    </w:p>
    <w:p>
      <w:pPr>
        <w:spacing w:line="360" w:lineRule="auto"/>
        <w:ind w:firstLine="480"/>
      </w:pPr>
      <w:r>
        <w:rPr>
          <w:rFonts w:ascii="Times New Roman" w:hAnsi="Times New Roman" w:eastAsia="宋体"/>
          <w:b w:val="0"/>
          <w:sz w:val="24"/>
        </w:rPr>
        <w:t>upper explosion limit at standard temperature; in that case it is recommended to indicate</w:t>
      </w:r>
    </w:p>
    <w:p>
      <w:pPr>
        <w:spacing w:line="360" w:lineRule="auto"/>
        <w:ind w:firstLine="480"/>
      </w:pPr>
      <w:r>
        <w:rPr>
          <w:rFonts w:ascii="Times New Roman" w:hAnsi="Times New Roman" w:eastAsia="宋体"/>
          <w:b w:val="0"/>
          <w:sz w:val="24"/>
        </w:rPr>
        <w:t>the upper explosion limit at elevated temperature</w:t>
      </w:r>
    </w:p>
    <w:p>
      <w:pPr>
        <w:spacing w:line="360" w:lineRule="auto"/>
        <w:ind w:firstLine="480"/>
      </w:pPr>
      <w:r>
        <w:rPr>
          <w:rFonts w:ascii="Times New Roman" w:hAnsi="Times New Roman" w:eastAsia="宋体"/>
          <w:b w:val="0"/>
          <w:sz w:val="24"/>
        </w:rPr>
        <w:t>• if the flash point is &gt; +20 °C the same holds for both the lower and upper explosion limit</w:t>
      </w:r>
    </w:p>
    <w:p>
      <w:pPr>
        <w:spacing w:line="360" w:lineRule="auto"/>
        <w:ind w:firstLine="480"/>
      </w:pPr>
      <w:r>
        <w:rPr>
          <w:rFonts w:ascii="Times New Roman" w:hAnsi="Times New Roman" w:eastAsia="宋体"/>
          <w:b w:val="0"/>
          <w:sz w:val="24"/>
        </w:rPr>
        <w:t>Note:</w:t>
      </w:r>
    </w:p>
    <w:p>
      <w:pPr>
        <w:spacing w:line="360" w:lineRule="auto"/>
        <w:ind w:firstLine="480"/>
      </w:pPr>
      <w:r>
        <w:rPr>
          <w:rFonts w:ascii="Times New Roman" w:hAnsi="Times New Roman" w:eastAsia="宋体"/>
          <w:b w:val="0"/>
          <w:sz w:val="24"/>
        </w:rPr>
        <w:t>Depending on the region of the world the term “explosion limit” or “flammability</w:t>
      </w:r>
    </w:p>
    <w:p>
      <w:pPr>
        <w:spacing w:line="360" w:lineRule="auto"/>
        <w:ind w:firstLine="480"/>
      </w:pPr>
      <w:r>
        <w:rPr>
          <w:rFonts w:ascii="Times New Roman" w:hAnsi="Times New Roman" w:eastAsia="宋体"/>
          <w:b w:val="0"/>
          <w:sz w:val="24"/>
        </w:rPr>
        <w:t>limit” is used but is supposed to mean the same.</w:t>
      </w:r>
    </w:p>
    <w:p>
      <w:pPr>
        <w:spacing w:line="360" w:lineRule="auto"/>
        <w:ind w:firstLine="480"/>
      </w:pPr>
      <w:r>
        <w:rPr>
          <w:rFonts w:ascii="Times New Roman" w:hAnsi="Times New Roman" w:eastAsia="宋体"/>
          <w:b w:val="0"/>
          <w:sz w:val="24"/>
        </w:rPr>
        <w:t>Flash point</w:t>
      </w:r>
    </w:p>
    <w:p>
      <w:pPr>
        <w:spacing w:line="360" w:lineRule="auto"/>
        <w:ind w:firstLine="480"/>
      </w:pPr>
      <w:r>
        <w:rPr>
          <w:rFonts w:ascii="Times New Roman" w:hAnsi="Times New Roman" w:eastAsia="宋体"/>
          <w:b w:val="0"/>
          <w:sz w:val="24"/>
        </w:rPr>
        <w:t>− not applicable to gases, aerosols and solids</w:t>
      </w:r>
    </w:p>
    <w:p>
      <w:pPr>
        <w:spacing w:line="360" w:lineRule="auto"/>
        <w:ind w:firstLine="480"/>
      </w:pPr>
      <w:r>
        <w:rPr>
          <w:rFonts w:ascii="Times New Roman" w:hAnsi="Times New Roman" w:eastAsia="宋体"/>
          <w:b w:val="0"/>
          <w:sz w:val="24"/>
        </w:rPr>
        <w:t>− for information on test methods etc., see chapter 2.6, paragraph 2.6.4.2</w:t>
      </w:r>
    </w:p>
    <w:p>
      <w:pPr>
        <w:spacing w:line="360" w:lineRule="auto"/>
        <w:ind w:firstLine="480"/>
      </w:pPr>
      <w:r>
        <w:rPr>
          <w:rFonts w:ascii="Times New Roman" w:hAnsi="Times New Roman" w:eastAsia="宋体"/>
          <w:b w:val="0"/>
          <w:sz w:val="24"/>
        </w:rPr>
        <w:t>for mixtures:</w:t>
      </w:r>
    </w:p>
    <w:p>
      <w:pPr>
        <w:spacing w:line="360" w:lineRule="auto"/>
        <w:ind w:firstLine="480"/>
      </w:pPr>
      <w:r>
        <w:rPr>
          <w:rFonts w:ascii="Times New Roman" w:hAnsi="Times New Roman" w:eastAsia="宋体"/>
          <w:b w:val="0"/>
          <w:sz w:val="24"/>
        </w:rPr>
        <w:t>− indicate a value for the mixture itself if available, otherwise indicate the flash point(s) of</w:t>
      </w:r>
    </w:p>
    <w:p>
      <w:pPr>
        <w:spacing w:line="360" w:lineRule="auto"/>
        <w:ind w:firstLine="480"/>
      </w:pPr>
      <w:r>
        <w:rPr>
          <w:rFonts w:ascii="Times New Roman" w:hAnsi="Times New Roman" w:eastAsia="宋体"/>
          <w:b w:val="0"/>
          <w:sz w:val="24"/>
        </w:rPr>
        <w:t>those substances with the lowest flash point(s) as these are generally the main contributing</w:t>
      </w:r>
    </w:p>
    <w:p>
      <w:pPr>
        <w:spacing w:line="360" w:lineRule="auto"/>
        <w:ind w:firstLine="480"/>
      </w:pPr>
      <w:r>
        <w:rPr>
          <w:rFonts w:ascii="Times New Roman" w:hAnsi="Times New Roman" w:eastAsia="宋体"/>
          <w:b w:val="0"/>
          <w:sz w:val="24"/>
        </w:rPr>
        <w:t>ones</w:t>
      </w:r>
    </w:p>
    <w:p>
      <w:pPr>
        <w:spacing w:line="360" w:lineRule="auto"/>
        <w:ind w:firstLine="480"/>
      </w:pPr>
      <w:r>
        <w:rPr>
          <w:rFonts w:ascii="Times New Roman" w:hAnsi="Times New Roman" w:eastAsia="宋体"/>
          <w:b w:val="0"/>
          <w:sz w:val="24"/>
        </w:rPr>
        <w:t>Auto-ignition</w:t>
      </w:r>
    </w:p>
    <w:p>
      <w:pPr>
        <w:spacing w:line="360" w:lineRule="auto"/>
        <w:ind w:firstLine="480"/>
      </w:pPr>
      <w:r>
        <w:rPr>
          <w:rFonts w:ascii="Times New Roman" w:hAnsi="Times New Roman" w:eastAsia="宋体"/>
          <w:b w:val="0"/>
          <w:sz w:val="24"/>
        </w:rPr>
        <w:t>temperature</w:t>
      </w:r>
    </w:p>
    <w:p>
      <w:pPr>
        <w:spacing w:line="360" w:lineRule="auto"/>
        <w:ind w:firstLine="480"/>
      </w:pPr>
      <w:r>
        <w:rPr>
          <w:rFonts w:ascii="Times New Roman" w:hAnsi="Times New Roman" w:eastAsia="宋体"/>
          <w:b w:val="0"/>
          <w:sz w:val="24"/>
        </w:rPr>
        <w:t>− applicable to gases and liquids only</w:t>
      </w:r>
    </w:p>
    <w:p>
      <w:pPr>
        <w:spacing w:line="360" w:lineRule="auto"/>
        <w:ind w:firstLine="480"/>
      </w:pPr>
      <w:r>
        <w:rPr>
          <w:rFonts w:ascii="Times New Roman" w:hAnsi="Times New Roman" w:eastAsia="宋体"/>
          <w:b w:val="0"/>
          <w:sz w:val="24"/>
        </w:rPr>
        <w:t>for mixtures:</w:t>
      </w:r>
    </w:p>
    <w:p>
      <w:pPr>
        <w:spacing w:line="360" w:lineRule="auto"/>
        <w:ind w:firstLine="480"/>
      </w:pPr>
      <w:r>
        <w:rPr>
          <w:rFonts w:ascii="Times New Roman" w:hAnsi="Times New Roman" w:eastAsia="宋体"/>
          <w:b w:val="0"/>
          <w:sz w:val="24"/>
        </w:rPr>
        <w:t>− indicate a value for the mixture itself if available, otherwise indicate the auto-ignition</w:t>
      </w:r>
    </w:p>
    <w:p>
      <w:pPr>
        <w:spacing w:line="360" w:lineRule="auto"/>
        <w:ind w:firstLine="480"/>
      </w:pPr>
      <w:r>
        <w:rPr>
          <w:rFonts w:ascii="Times New Roman" w:hAnsi="Times New Roman" w:eastAsia="宋体"/>
          <w:b w:val="0"/>
          <w:sz w:val="24"/>
        </w:rPr>
        <w:t>temperature(s) of those ingredients with the lowest auto-ignition temperature(s)</w:t>
      </w:r>
    </w:p>
    <w:p>
      <w:pPr>
        <w:spacing w:line="360" w:lineRule="auto"/>
        <w:ind w:firstLine="480"/>
      </w:pPr>
      <w:r>
        <w:rPr>
          <w:rFonts w:ascii="Times New Roman" w:hAnsi="Times New Roman" w:eastAsia="宋体"/>
          <w:b w:val="0"/>
          <w:sz w:val="24"/>
        </w:rPr>
        <w:t>Decomposition</w:t>
      </w:r>
    </w:p>
    <w:p>
      <w:pPr>
        <w:spacing w:line="360" w:lineRule="auto"/>
        <w:ind w:firstLine="480"/>
      </w:pPr>
      <w:r>
        <w:rPr>
          <w:rFonts w:ascii="Times New Roman" w:hAnsi="Times New Roman" w:eastAsia="宋体"/>
          <w:b w:val="0"/>
          <w:sz w:val="24"/>
        </w:rPr>
        <w:t>temperature</w:t>
      </w:r>
    </w:p>
    <w:p>
      <w:pPr>
        <w:spacing w:line="360" w:lineRule="auto"/>
        <w:ind w:firstLine="480"/>
      </w:pPr>
      <w:r>
        <w:rPr>
          <w:rFonts w:ascii="Times New Roman" w:hAnsi="Times New Roman" w:eastAsia="宋体"/>
          <w:b w:val="0"/>
          <w:sz w:val="24"/>
        </w:rPr>
        <w:t>− applicable to self-reactive substance and mixtures and organic peroxides and other substances</w:t>
      </w:r>
    </w:p>
    <w:p>
      <w:pPr>
        <w:spacing w:line="360" w:lineRule="auto"/>
        <w:ind w:firstLine="480"/>
      </w:pPr>
      <w:r>
        <w:rPr>
          <w:rFonts w:ascii="Times New Roman" w:hAnsi="Times New Roman" w:eastAsia="宋体"/>
          <w:b w:val="0"/>
          <w:sz w:val="24"/>
        </w:rPr>
        <w:t>and mixtures which may decompose</w:t>
      </w:r>
    </w:p>
    <w:p>
      <w:pPr>
        <w:spacing w:line="360" w:lineRule="auto"/>
        <w:ind w:firstLine="480"/>
      </w:pPr>
      <w:r>
        <w:rPr>
          <w:rFonts w:ascii="Times New Roman" w:hAnsi="Times New Roman" w:eastAsia="宋体"/>
          <w:b w:val="0"/>
          <w:sz w:val="24"/>
        </w:rPr>
        <w:t>− indicate</w:t>
      </w:r>
    </w:p>
    <w:p>
      <w:pPr>
        <w:spacing w:line="360" w:lineRule="auto"/>
        <w:ind w:firstLine="480"/>
      </w:pPr>
      <w:r>
        <w:rPr>
          <w:rFonts w:ascii="Times New Roman" w:hAnsi="Times New Roman" w:eastAsia="宋体"/>
          <w:b w:val="0"/>
          <w:sz w:val="24"/>
        </w:rPr>
        <w:t>• the SADT (self-accelerating decomposition temperature), together with the</w:t>
      </w:r>
    </w:p>
    <w:p>
      <w:pPr>
        <w:spacing w:line="360" w:lineRule="auto"/>
        <w:ind w:firstLine="480"/>
      </w:pPr>
      <w:r>
        <w:rPr>
          <w:rFonts w:ascii="Times New Roman" w:hAnsi="Times New Roman" w:eastAsia="宋体"/>
          <w:b w:val="0"/>
          <w:sz w:val="24"/>
        </w:rPr>
        <w:t>volume to which it applies or</w:t>
      </w:r>
    </w:p>
    <w:p>
      <w:pPr>
        <w:spacing w:line="360" w:lineRule="auto"/>
        <w:ind w:firstLine="480"/>
      </w:pPr>
      <w:r>
        <w:rPr>
          <w:rFonts w:ascii="Times New Roman" w:hAnsi="Times New Roman" w:eastAsia="宋体"/>
          <w:b w:val="0"/>
          <w:sz w:val="24"/>
        </w:rPr>
        <w:t>• the decomposition onset temperature (see also section 20.3.3.3 of the</w:t>
      </w:r>
    </w:p>
    <w:p>
      <w:pPr>
        <w:spacing w:line="360" w:lineRule="auto"/>
        <w:ind w:firstLine="480"/>
      </w:pPr>
      <w:r>
        <w:rPr>
          <w:rFonts w:ascii="Times New Roman" w:hAnsi="Times New Roman" w:eastAsia="宋体"/>
          <w:b w:val="0"/>
          <w:sz w:val="24"/>
        </w:rPr>
        <w:t>Manual of Tests and Criteria)</w:t>
      </w:r>
    </w:p>
    <w:p>
      <w:pPr>
        <w:spacing w:line="360" w:lineRule="auto"/>
        <w:ind w:firstLine="480"/>
      </w:pPr>
      <w:r>
        <w:rPr>
          <w:rFonts w:ascii="Times New Roman" w:hAnsi="Times New Roman" w:eastAsia="宋体"/>
          <w:b w:val="0"/>
          <w:sz w:val="24"/>
        </w:rPr>
        <w:t>− indicate whether the temperature given is the SADT or the decomposition onset temperature</w:t>
      </w:r>
    </w:p>
    <w:p>
      <w:pPr>
        <w:spacing w:line="360" w:lineRule="auto"/>
        <w:ind w:firstLine="480"/>
      </w:pPr>
      <w:r>
        <w:rPr>
          <w:rFonts w:ascii="Times New Roman" w:hAnsi="Times New Roman" w:eastAsia="宋体"/>
          <w:b w:val="0"/>
          <w:sz w:val="24"/>
        </w:rPr>
        <w:t>− if no decomposition was observed, indicate up to which temperature no decomposition was</w:t>
      </w:r>
    </w:p>
    <w:p>
      <w:pPr>
        <w:spacing w:line="360" w:lineRule="auto"/>
        <w:ind w:firstLine="480"/>
      </w:pPr>
      <w:r>
        <w:rPr>
          <w:rFonts w:ascii="Times New Roman" w:hAnsi="Times New Roman" w:eastAsia="宋体"/>
          <w:b w:val="0"/>
          <w:sz w:val="24"/>
        </w:rPr>
        <w:t>observed, e.g. as “no decomposition observed up to x °C/°F”</w:t>
      </w:r>
    </w:p>
    <w:p>
      <w:pPr>
        <w:spacing w:line="360" w:lineRule="auto"/>
        <w:ind w:firstLine="480"/>
      </w:pPr>
      <w:r>
        <w:rPr>
          <w:rFonts w:ascii="Times New Roman" w:hAnsi="Times New Roman" w:eastAsia="宋体"/>
          <w:b w:val="0"/>
          <w:sz w:val="24"/>
        </w:rPr>
        <w:t>pH</w:t>
      </w:r>
    </w:p>
    <w:p>
      <w:pPr>
        <w:spacing w:line="360" w:lineRule="auto"/>
        <w:ind w:firstLine="480"/>
      </w:pPr>
      <w:r>
        <w:rPr>
          <w:rFonts w:ascii="Times New Roman" w:hAnsi="Times New Roman" w:eastAsia="宋体"/>
          <w:b w:val="0"/>
          <w:sz w:val="24"/>
        </w:rPr>
        <w:t>− not applicable to gases</w:t>
      </w:r>
    </w:p>
    <w:p>
      <w:pPr>
        <w:spacing w:line="360" w:lineRule="auto"/>
        <w:ind w:firstLine="480"/>
      </w:pPr>
      <w:r>
        <w:rPr>
          <w:rFonts w:ascii="Times New Roman" w:hAnsi="Times New Roman" w:eastAsia="宋体"/>
          <w:b w:val="0"/>
          <w:sz w:val="24"/>
        </w:rPr>
        <w:t>− applicable to aqueous liquids and solutions (the pH is linked to aqueous media by definition;</w:t>
      </w:r>
    </w:p>
    <w:p>
      <w:pPr>
        <w:spacing w:line="360" w:lineRule="auto"/>
        <w:ind w:firstLine="480"/>
      </w:pPr>
      <w:r>
        <w:rPr>
          <w:rFonts w:ascii="Times New Roman" w:hAnsi="Times New Roman" w:eastAsia="宋体"/>
          <w:b w:val="0"/>
          <w:sz w:val="24"/>
        </w:rPr>
        <w:t>measurements carried out in other media do not give the pH)</w:t>
      </w:r>
    </w:p>
    <w:p>
      <w:pPr>
        <w:spacing w:line="360" w:lineRule="auto"/>
        <w:ind w:firstLine="480"/>
      </w:pPr>
      <w:r>
        <w:rPr>
          <w:rFonts w:ascii="Times New Roman" w:hAnsi="Times New Roman" w:eastAsia="宋体"/>
          <w:b w:val="0"/>
          <w:sz w:val="24"/>
        </w:rPr>
        <w:t>− indicate the concentration of the test substance in water</w:t>
      </w:r>
    </w:p>
    <w:p>
      <w:pPr>
        <w:spacing w:line="360" w:lineRule="auto"/>
        <w:ind w:firstLine="480"/>
      </w:pPr>
      <w:r>
        <w:rPr>
          <w:rFonts w:ascii="Times New Roman" w:hAnsi="Times New Roman" w:eastAsia="宋体"/>
          <w:b w:val="0"/>
          <w:sz w:val="24"/>
        </w:rPr>
        <w:t>− where the pH is ≤ 2 or ≥ 11.5, see table A4.3.9.3 for information on acid/alkaline reserve</w:t>
      </w:r>
    </w:p>
    <w:p>
      <w:pPr>
        <w:spacing w:line="360" w:lineRule="auto"/>
        <w:ind w:firstLine="480"/>
      </w:pPr>
      <w:r>
        <w:rPr>
          <w:rFonts w:ascii="Times New Roman" w:hAnsi="Times New Roman" w:eastAsia="宋体"/>
          <w:b w:val="0"/>
          <w:sz w:val="24"/>
        </w:rPr>
        <w:t>Kinematic viscosity</w:t>
      </w:r>
    </w:p>
    <w:p>
      <w:pPr>
        <w:spacing w:line="360" w:lineRule="auto"/>
        <w:ind w:firstLine="480"/>
      </w:pPr>
      <w:r>
        <w:rPr>
          <w:rFonts w:ascii="Times New Roman" w:hAnsi="Times New Roman" w:eastAsia="宋体"/>
          <w:b w:val="0"/>
          <w:sz w:val="24"/>
        </w:rPr>
        <w:t>− applicable to liquids only</w:t>
      </w:r>
    </w:p>
    <w:p>
      <w:pPr>
        <w:spacing w:line="360" w:lineRule="auto"/>
        <w:ind w:firstLine="480"/>
      </w:pPr>
      <w:r>
        <w:rPr>
          <w:rFonts w:ascii="Times New Roman" w:hAnsi="Times New Roman" w:eastAsia="宋体"/>
          <w:b w:val="0"/>
          <w:sz w:val="24"/>
        </w:rPr>
        <w:t>− use preferably mm2/s as unit (as the classification criteria for the hazard class aspiration</w:t>
      </w:r>
    </w:p>
    <w:p>
      <w:pPr>
        <w:spacing w:line="360" w:lineRule="auto"/>
        <w:ind w:firstLine="480"/>
      </w:pPr>
      <w:r>
        <w:rPr>
          <w:rFonts w:ascii="Times New Roman" w:hAnsi="Times New Roman" w:eastAsia="宋体"/>
          <w:b w:val="0"/>
          <w:sz w:val="24"/>
        </w:rPr>
        <w:t>hazard are based on this unit)</w:t>
      </w:r>
    </w:p>
    <w:p>
      <w:pPr>
        <w:spacing w:line="360" w:lineRule="auto"/>
        <w:ind w:firstLine="480"/>
      </w:pPr>
      <w:r>
        <w:rPr>
          <w:rFonts w:ascii="Times New Roman" w:hAnsi="Times New Roman" w:eastAsia="宋体"/>
          <w:b w:val="0"/>
          <w:sz w:val="24"/>
        </w:rPr>
        <w:t>− the dynamic viscosity may be indicated in addition. The kinematic viscosity is linked to the</w:t>
      </w:r>
    </w:p>
    <w:p>
      <w:pPr>
        <w:spacing w:line="360" w:lineRule="auto"/>
        <w:ind w:firstLine="480"/>
      </w:pPr>
      <w:r>
        <w:rPr>
          <w:rFonts w:ascii="Times New Roman" w:hAnsi="Times New Roman" w:eastAsia="宋体"/>
          <w:b w:val="0"/>
          <w:sz w:val="24"/>
        </w:rPr>
        <w:t>dynamic viscosity by the density:</w:t>
      </w:r>
    </w:p>
    <w:p>
      <w:pPr>
        <w:spacing w:line="360" w:lineRule="auto"/>
        <w:ind w:firstLine="480"/>
      </w:pPr>
      <w:r>
        <w:rPr>
          <w:rFonts w:ascii="Times New Roman" w:hAnsi="Times New Roman" w:eastAsia="宋体"/>
          <w:b w:val="0"/>
          <w:sz w:val="24"/>
        </w:rPr>
        <w:t>)</w:t>
      </w:r>
    </w:p>
    <w:p>
      <w:pPr>
        <w:spacing w:line="360" w:lineRule="auto"/>
        <w:ind w:firstLine="480"/>
      </w:pPr>
      <w:r>
        <w:rPr>
          <w:rFonts w:ascii="Times New Roman" w:hAnsi="Times New Roman" w:eastAsia="宋体"/>
          <w:b w:val="0"/>
          <w:sz w:val="24"/>
        </w:rPr>
        <w:t>(g/cm</w:t>
      </w:r>
    </w:p>
    <w:p>
      <w:pPr>
        <w:spacing w:line="360" w:lineRule="auto"/>
        <w:ind w:firstLine="480"/>
      </w:pPr>
      <w:r>
        <w:rPr>
          <w:rFonts w:ascii="Times New Roman" w:hAnsi="Times New Roman" w:eastAsia="宋体"/>
          <w:b w:val="0"/>
          <w:sz w:val="24"/>
        </w:rPr>
        <w:t>Density</w:t>
      </w:r>
    </w:p>
    <w:p>
      <w:pPr>
        <w:spacing w:line="360" w:lineRule="auto"/>
        <w:ind w:firstLine="480"/>
      </w:pPr>
      <w:r>
        <w:rPr>
          <w:rFonts w:ascii="Times New Roman" w:hAnsi="Times New Roman" w:eastAsia="宋体"/>
          <w:b w:val="0"/>
          <w:sz w:val="24"/>
        </w:rPr>
        <w:t>s)</w:t>
      </w:r>
    </w:p>
    <w:p>
      <w:pPr>
        <w:spacing w:line="360" w:lineRule="auto"/>
        <w:ind w:firstLine="480"/>
      </w:pPr>
      <w:r>
        <w:rPr>
          <w:rFonts w:ascii="Times New Roman" w:hAnsi="Times New Roman" w:eastAsia="宋体"/>
          <w:b w:val="0"/>
          <w:sz w:val="24"/>
        </w:rPr>
        <w:t>(mPa</w:t>
      </w:r>
    </w:p>
    <w:p>
      <w:pPr>
        <w:spacing w:line="360" w:lineRule="auto"/>
        <w:ind w:firstLine="480"/>
      </w:pPr>
      <w:r>
        <w:rPr>
          <w:rFonts w:ascii="Times New Roman" w:hAnsi="Times New Roman" w:eastAsia="宋体"/>
          <w:b w:val="0"/>
          <w:sz w:val="24"/>
        </w:rPr>
        <w:t>viscosity</w:t>
      </w:r>
    </w:p>
    <w:p>
      <w:pPr>
        <w:spacing w:line="360" w:lineRule="auto"/>
        <w:ind w:firstLine="480"/>
      </w:pPr>
      <w:r>
        <w:rPr>
          <w:rFonts w:ascii="Times New Roman" w:hAnsi="Times New Roman" w:eastAsia="宋体"/>
          <w:b w:val="0"/>
          <w:sz w:val="24"/>
        </w:rPr>
        <w:t>Dynamic</w:t>
      </w:r>
    </w:p>
    <w:p>
      <w:pPr>
        <w:spacing w:line="360" w:lineRule="auto"/>
        <w:ind w:firstLine="480"/>
      </w:pPr>
      <w:r>
        <w:rPr>
          <w:rFonts w:ascii="Times New Roman" w:hAnsi="Times New Roman" w:eastAsia="宋体"/>
          <w:b w:val="0"/>
          <w:sz w:val="24"/>
        </w:rPr>
        <w:t>)</w:t>
      </w:r>
    </w:p>
    <w:p>
      <w:pPr>
        <w:spacing w:line="360" w:lineRule="auto"/>
        <w:ind w:firstLine="480"/>
      </w:pPr>
      <w:r>
        <w:rPr>
          <w:rFonts w:ascii="Times New Roman" w:hAnsi="Times New Roman" w:eastAsia="宋体"/>
          <w:b w:val="0"/>
          <w:sz w:val="24"/>
        </w:rPr>
        <w:t>s</w:t>
      </w:r>
    </w:p>
    <w:p>
      <w:pPr>
        <w:spacing w:line="360" w:lineRule="auto"/>
        <w:ind w:firstLine="480"/>
      </w:pPr>
      <w:r>
        <w:rPr>
          <w:rFonts w:ascii="Times New Roman" w:hAnsi="Times New Roman" w:eastAsia="宋体"/>
          <w:b w:val="0"/>
          <w:sz w:val="24"/>
        </w:rPr>
        <w:t>/</w:t>
      </w:r>
    </w:p>
    <w:p>
      <w:pPr>
        <w:spacing w:line="360" w:lineRule="auto"/>
        <w:ind w:firstLine="480"/>
      </w:pPr>
      <w:r>
        <w:rPr>
          <w:rFonts w:ascii="Times New Roman" w:hAnsi="Times New Roman" w:eastAsia="宋体"/>
          <w:b w:val="0"/>
          <w:sz w:val="24"/>
        </w:rPr>
        <w:t>(mm</w:t>
      </w:r>
    </w:p>
    <w:p>
      <w:pPr>
        <w:spacing w:line="360" w:lineRule="auto"/>
        <w:ind w:firstLine="480"/>
      </w:pPr>
      <w:r>
        <w:rPr>
          <w:rFonts w:ascii="Times New Roman" w:hAnsi="Times New Roman" w:eastAsia="宋体"/>
          <w:b w:val="0"/>
          <w:sz w:val="24"/>
        </w:rPr>
        <w:t>viscosity</w:t>
      </w:r>
    </w:p>
    <w:p>
      <w:pPr>
        <w:spacing w:line="360" w:lineRule="auto"/>
        <w:ind w:firstLine="480"/>
      </w:pPr>
      <w:r>
        <w:rPr>
          <w:rFonts w:ascii="Times New Roman" w:hAnsi="Times New Roman" w:eastAsia="宋体"/>
          <w:b w:val="0"/>
          <w:sz w:val="24"/>
        </w:rPr>
        <w:t>Kinematic</w:t>
      </w:r>
    </w:p>
    <w:p>
      <w:pPr>
        <w:spacing w:line="360" w:lineRule="auto"/>
        <w:ind w:firstLine="480"/>
      </w:pPr>
      <w:r>
        <w:rPr>
          <w:rFonts w:ascii="Times New Roman" w:hAnsi="Times New Roman" w:eastAsia="宋体"/>
          <w:b w:val="0"/>
          <w:sz w:val="24"/>
        </w:rPr>
        <w:t>3</w:t>
      </w:r>
    </w:p>
    <w:p>
      <w:pPr>
        <w:spacing w:line="360" w:lineRule="auto"/>
        <w:ind w:firstLine="480"/>
      </w:pPr>
      <w:r>
        <w:rPr>
          <w:rFonts w:ascii="Times New Roman" w:hAnsi="Times New Roman" w:eastAsia="宋体"/>
          <w:b w:val="0"/>
          <w:sz w:val="24"/>
        </w:rPr>
        <w:t>2</w:t>
      </w:r>
    </w:p>
    <w:p>
      <w:pPr>
        <w:spacing w:line="360" w:lineRule="auto"/>
        <w:ind w:firstLine="480"/>
      </w:pPr>
      <w:r>
        <w:rPr>
          <w:rFonts w:ascii="Times New Roman" w:hAnsi="Times New Roman" w:eastAsia="宋体"/>
          <w:b w:val="0"/>
          <w:sz w:val="24"/>
        </w:rPr>
        <w:t></w:t>
      </w:r>
    </w:p>
    <w:p>
      <w:pPr>
        <w:spacing w:line="360" w:lineRule="auto"/>
        <w:ind w:firstLine="480"/>
      </w:pPr>
      <w:r>
        <w:rPr>
          <w:rFonts w:ascii="Times New Roman" w:hAnsi="Times New Roman" w:eastAsia="宋体"/>
          <w:b w:val="0"/>
          <w:sz w:val="24"/>
        </w:rPr>
        <w:t>=</w:t>
      </w:r>
    </w:p>
    <w:p>
      <w:pPr>
        <w:spacing w:line="360" w:lineRule="auto"/>
        <w:ind w:firstLine="480"/>
      </w:pPr>
      <w:r>
        <w:rPr>
          <w:rFonts w:ascii="Times New Roman" w:hAnsi="Times New Roman" w:eastAsia="宋体"/>
          <w:b w:val="0"/>
          <w:sz w:val="24"/>
        </w:rPr>
        <w:t>− for non-Newtonian liquids, indicate thixotropic or rheopexic behaviour</w:t>
      </w:r>
    </w:p>
    <w:p>
      <w:pPr>
        <w:spacing w:line="360" w:lineRule="auto"/>
        <w:ind w:firstLine="480"/>
      </w:pPr>
      <w:r>
        <w:rPr>
          <w:rFonts w:ascii="Times New Roman" w:hAnsi="Times New Roman" w:eastAsia="宋体"/>
          <w:b w:val="0"/>
          <w:sz w:val="24"/>
        </w:rPr>
        <w:t>Solubility</w:t>
      </w:r>
    </w:p>
    <w:p>
      <w:pPr>
        <w:spacing w:line="360" w:lineRule="auto"/>
        <w:ind w:firstLine="480"/>
      </w:pPr>
      <w:r>
        <w:rPr>
          <w:rFonts w:ascii="Times New Roman" w:hAnsi="Times New Roman" w:eastAsia="宋体"/>
          <w:b w:val="0"/>
          <w:sz w:val="24"/>
        </w:rPr>
        <w:t>− generally at standard temperature</w:t>
      </w:r>
    </w:p>
    <w:p>
      <w:pPr>
        <w:spacing w:line="360" w:lineRule="auto"/>
        <w:ind w:firstLine="480"/>
      </w:pPr>
      <w:r>
        <w:rPr>
          <w:rFonts w:ascii="Times New Roman" w:hAnsi="Times New Roman" w:eastAsia="宋体"/>
          <w:b w:val="0"/>
          <w:sz w:val="24"/>
        </w:rPr>
        <w:t>− indicate the solubility in water</w:t>
      </w:r>
    </w:p>
    <w:p>
      <w:pPr>
        <w:spacing w:line="360" w:lineRule="auto"/>
        <w:ind w:firstLine="480"/>
      </w:pPr>
      <w:r>
        <w:rPr>
          <w:rFonts w:ascii="Times New Roman" w:hAnsi="Times New Roman" w:eastAsia="宋体"/>
          <w:b w:val="0"/>
          <w:sz w:val="24"/>
        </w:rPr>
        <w:t>− the solubility in other (non-polar) solvents may also be included</w:t>
      </w:r>
    </w:p>
    <w:p>
      <w:pPr>
        <w:spacing w:line="360" w:lineRule="auto"/>
        <w:ind w:firstLine="480"/>
      </w:pPr>
      <w:r>
        <w:rPr>
          <w:rFonts w:ascii="Times New Roman" w:hAnsi="Times New Roman" w:eastAsia="宋体"/>
          <w:b w:val="0"/>
          <w:sz w:val="24"/>
        </w:rPr>
        <w:t>− for mixtures, indicate if it is fully or only partially soluble in or miscible with water or other</w:t>
      </w:r>
    </w:p>
    <w:p>
      <w:pPr>
        <w:spacing w:line="360" w:lineRule="auto"/>
        <w:ind w:firstLine="480"/>
      </w:pPr>
      <w:r>
        <w:rPr>
          <w:rFonts w:ascii="Times New Roman" w:hAnsi="Times New Roman" w:eastAsia="宋体"/>
          <w:b w:val="0"/>
          <w:sz w:val="24"/>
        </w:rPr>
        <w:t>solvent</w:t>
      </w:r>
    </w:p>
    <w:p>
      <w:pPr>
        <w:spacing w:line="360" w:lineRule="auto"/>
        <w:ind w:firstLine="480"/>
      </w:pPr>
      <w:r>
        <w:rPr>
          <w:rFonts w:ascii="Times New Roman" w:hAnsi="Times New Roman" w:eastAsia="宋体"/>
          <w:b w:val="0"/>
          <w:sz w:val="24"/>
        </w:rPr>
        <w:t>Partition coefficient</w:t>
      </w:r>
    </w:p>
    <w:p>
      <w:pPr>
        <w:spacing w:line="360" w:lineRule="auto"/>
        <w:ind w:firstLine="480"/>
      </w:pPr>
      <w:r>
        <w:rPr>
          <w:rFonts w:ascii="Times New Roman" w:hAnsi="Times New Roman" w:eastAsia="宋体"/>
          <w:b w:val="0"/>
          <w:sz w:val="24"/>
        </w:rPr>
        <w:t>n-octanol/water</w:t>
      </w:r>
    </w:p>
    <w:p>
      <w:pPr>
        <w:spacing w:line="360" w:lineRule="auto"/>
        <w:ind w:firstLine="480"/>
      </w:pPr>
      <w:r>
        <w:rPr>
          <w:rFonts w:ascii="Times New Roman" w:hAnsi="Times New Roman" w:eastAsia="宋体"/>
          <w:b w:val="0"/>
          <w:sz w:val="24"/>
        </w:rPr>
        <w:t>(log value)</w:t>
      </w:r>
    </w:p>
    <w:p>
      <w:pPr>
        <w:spacing w:line="360" w:lineRule="auto"/>
        <w:ind w:firstLine="480"/>
      </w:pPr>
      <w:r>
        <w:rPr>
          <w:rFonts w:ascii="Times New Roman" w:hAnsi="Times New Roman" w:eastAsia="宋体"/>
          <w:b w:val="0"/>
          <w:sz w:val="24"/>
        </w:rPr>
        <w:t>− not applicable to inorganic and ionic liquids</w:t>
      </w:r>
    </w:p>
    <w:p>
      <w:pPr>
        <w:spacing w:line="360" w:lineRule="auto"/>
        <w:ind w:firstLine="480"/>
      </w:pPr>
      <w:r>
        <w:rPr>
          <w:rFonts w:ascii="Times New Roman" w:hAnsi="Times New Roman" w:eastAsia="宋体"/>
          <w:b w:val="0"/>
          <w:sz w:val="24"/>
        </w:rPr>
        <w:t>− generally not applicable to mixtures</w:t>
      </w:r>
    </w:p>
    <w:p>
      <w:pPr>
        <w:spacing w:line="360" w:lineRule="auto"/>
        <w:ind w:firstLine="480"/>
      </w:pPr>
      <w:r>
        <w:rPr>
          <w:rFonts w:ascii="Times New Roman" w:hAnsi="Times New Roman" w:eastAsia="宋体"/>
          <w:b w:val="0"/>
          <w:sz w:val="24"/>
        </w:rPr>
        <w:t>− may be calculated (using QSAR – Quantitative structure-activity relationship)</w:t>
      </w:r>
    </w:p>
    <w:p>
      <w:pPr>
        <w:spacing w:line="360" w:lineRule="auto"/>
        <w:ind w:firstLine="480"/>
      </w:pPr>
      <w:r>
        <w:rPr>
          <w:rFonts w:ascii="Times New Roman" w:hAnsi="Times New Roman" w:eastAsia="宋体"/>
          <w:b w:val="0"/>
          <w:sz w:val="24"/>
        </w:rPr>
        <w:t>− indicate whether the value is based on testing or on calculation</w:t>
      </w:r>
    </w:p>
    <w:p>
      <w:pPr>
        <w:spacing w:line="360" w:lineRule="auto"/>
        <w:ind w:firstLine="480"/>
      </w:pPr>
      <w:r>
        <w:rPr>
          <w:rFonts w:ascii="Times New Roman" w:hAnsi="Times New Roman" w:eastAsia="宋体"/>
          <w:b w:val="0"/>
          <w:sz w:val="24"/>
        </w:rPr>
        <w:t>- 420 -</w:t>
      </w:r>
    </w:p>
    <w:p>
      <w:pPr>
        <w:spacing w:line="360" w:lineRule="auto"/>
        <w:ind w:firstLine="480"/>
      </w:pPr>
      <w:r>
        <w:rPr>
          <w:rFonts w:ascii="Times New Roman" w:hAnsi="Times New Roman" w:eastAsia="宋体"/>
          <w:b w:val="0"/>
          <w:sz w:val="24"/>
        </w:rPr>
        <w:t>Table A4.3.9.1: Basic physical and chemical properties (cont’d)</w:t>
      </w:r>
    </w:p>
    <w:p>
      <w:pPr>
        <w:spacing w:line="360" w:lineRule="auto"/>
        <w:ind w:firstLine="480"/>
      </w:pPr>
      <w:r>
        <w:rPr>
          <w:rFonts w:ascii="Times New Roman" w:hAnsi="Times New Roman" w:eastAsia="宋体"/>
          <w:b w:val="0"/>
          <w:sz w:val="24"/>
        </w:rPr>
        <w:t>Property</w:t>
      </w:r>
    </w:p>
    <w:p>
      <w:pPr>
        <w:spacing w:line="360" w:lineRule="auto"/>
        <w:ind w:firstLine="480"/>
      </w:pPr>
      <w:r>
        <w:rPr>
          <w:rFonts w:ascii="Times New Roman" w:hAnsi="Times New Roman" w:eastAsia="宋体"/>
          <w:b w:val="0"/>
          <w:sz w:val="24"/>
        </w:rPr>
        <w:t>Remarks/Guidance</w:t>
      </w:r>
    </w:p>
    <w:p>
      <w:pPr>
        <w:spacing w:line="360" w:lineRule="auto"/>
        <w:ind w:firstLine="480"/>
      </w:pPr>
      <w:r>
        <w:rPr>
          <w:rFonts w:ascii="Times New Roman" w:hAnsi="Times New Roman" w:eastAsia="宋体"/>
          <w:b w:val="0"/>
          <w:sz w:val="24"/>
        </w:rPr>
        <w:t>Vapour pressure</w:t>
      </w:r>
    </w:p>
    <w:p>
      <w:pPr>
        <w:spacing w:line="360" w:lineRule="auto"/>
        <w:ind w:firstLine="480"/>
      </w:pPr>
      <w:r>
        <w:rPr>
          <w:rFonts w:ascii="Times New Roman" w:hAnsi="Times New Roman" w:eastAsia="宋体"/>
          <w:b w:val="0"/>
          <w:sz w:val="24"/>
        </w:rPr>
        <w:t>− generally at standard temperature</w:t>
      </w:r>
    </w:p>
    <w:p>
      <w:pPr>
        <w:spacing w:line="360" w:lineRule="auto"/>
        <w:ind w:firstLine="480"/>
      </w:pPr>
      <w:r>
        <w:rPr>
          <w:rFonts w:ascii="Times New Roman" w:hAnsi="Times New Roman" w:eastAsia="宋体"/>
          <w:b w:val="0"/>
          <w:sz w:val="24"/>
        </w:rPr>
        <w:t>− indicate the vapour pressure at 50°C for volatile fluids in addition (in order to enable</w:t>
      </w:r>
    </w:p>
    <w:p>
      <w:pPr>
        <w:spacing w:line="360" w:lineRule="auto"/>
        <w:ind w:firstLine="480"/>
      </w:pPr>
      <w:r>
        <w:rPr>
          <w:rFonts w:ascii="Times New Roman" w:hAnsi="Times New Roman" w:eastAsia="宋体"/>
          <w:b w:val="0"/>
          <w:sz w:val="24"/>
        </w:rPr>
        <w:t>distinction between gases and liquids based on the definitions in chapter 1.2)</w:t>
      </w:r>
    </w:p>
    <w:p>
      <w:pPr>
        <w:spacing w:line="360" w:lineRule="auto"/>
        <w:ind w:firstLine="480"/>
      </w:pPr>
      <w:r>
        <w:rPr>
          <w:rFonts w:ascii="Times New Roman" w:hAnsi="Times New Roman" w:eastAsia="宋体"/>
          <w:b w:val="0"/>
          <w:sz w:val="24"/>
        </w:rPr>
        <w:t>− in cases where one SDS is used to cover variants of a liquid mixture or liquefied gas mixture</w:t>
      </w:r>
    </w:p>
    <w:p>
      <w:pPr>
        <w:spacing w:line="360" w:lineRule="auto"/>
        <w:ind w:firstLine="480"/>
      </w:pPr>
      <w:r>
        <w:rPr>
          <w:rFonts w:ascii="Times New Roman" w:hAnsi="Times New Roman" w:eastAsia="宋体"/>
          <w:b w:val="0"/>
          <w:sz w:val="24"/>
        </w:rPr>
        <w:t>indicate a range for the vapour pressure</w:t>
      </w:r>
    </w:p>
    <w:p>
      <w:pPr>
        <w:spacing w:line="360" w:lineRule="auto"/>
        <w:ind w:firstLine="480"/>
      </w:pPr>
      <w:r>
        <w:rPr>
          <w:rFonts w:ascii="Times New Roman" w:hAnsi="Times New Roman" w:eastAsia="宋体"/>
          <w:b w:val="0"/>
          <w:sz w:val="24"/>
        </w:rPr>
        <w:t>− for liquid mixtures or liquefied gas mixtures, indicate a range for the vapour pressure or at</w:t>
      </w:r>
    </w:p>
    <w:p>
      <w:pPr>
        <w:spacing w:line="360" w:lineRule="auto"/>
        <w:ind w:firstLine="480"/>
      </w:pPr>
      <w:r>
        <w:rPr>
          <w:rFonts w:ascii="Times New Roman" w:hAnsi="Times New Roman" w:eastAsia="宋体"/>
          <w:b w:val="0"/>
          <w:sz w:val="24"/>
        </w:rPr>
        <w:t>least the vapour pressure of the most volatile ingredient(s) where the vapour pressure of the</w:t>
      </w:r>
    </w:p>
    <w:p>
      <w:pPr>
        <w:spacing w:line="360" w:lineRule="auto"/>
        <w:ind w:firstLine="480"/>
      </w:pPr>
      <w:r>
        <w:rPr>
          <w:rFonts w:ascii="Times New Roman" w:hAnsi="Times New Roman" w:eastAsia="宋体"/>
          <w:b w:val="0"/>
          <w:sz w:val="24"/>
        </w:rPr>
        <w:t>mixture is predominantly determined by this/these ingredient(s)</w:t>
      </w:r>
    </w:p>
    <w:p>
      <w:pPr>
        <w:spacing w:line="360" w:lineRule="auto"/>
        <w:ind w:firstLine="480"/>
      </w:pPr>
      <w:r>
        <w:rPr>
          <w:rFonts w:ascii="Times New Roman" w:hAnsi="Times New Roman" w:eastAsia="宋体"/>
          <w:b w:val="0"/>
          <w:sz w:val="24"/>
        </w:rPr>
        <w:t>− for liquid mixtures or liquefied gas mixtures, the vapour pressure may be calculated using</w:t>
      </w:r>
    </w:p>
    <w:p>
      <w:pPr>
        <w:spacing w:line="360" w:lineRule="auto"/>
        <w:ind w:firstLine="480"/>
      </w:pPr>
      <w:r>
        <w:rPr>
          <w:rFonts w:ascii="Times New Roman" w:hAnsi="Times New Roman" w:eastAsia="宋体"/>
          <w:b w:val="0"/>
          <w:sz w:val="24"/>
        </w:rPr>
        <w:t>the activity coefficients of the ingredients</w:t>
      </w:r>
    </w:p>
    <w:p>
      <w:pPr>
        <w:spacing w:line="360" w:lineRule="auto"/>
        <w:ind w:firstLine="480"/>
      </w:pPr>
      <w:r>
        <w:rPr>
          <w:rFonts w:ascii="Times New Roman" w:hAnsi="Times New Roman" w:eastAsia="宋体"/>
          <w:b w:val="0"/>
          <w:sz w:val="24"/>
        </w:rPr>
        <w:t>− the saturated vapour concentration (SVC) in ml/m3 or in g/m3 (=mg/l) may be indicated in</w:t>
      </w:r>
    </w:p>
    <w:p>
      <w:pPr>
        <w:spacing w:line="360" w:lineRule="auto"/>
        <w:ind w:firstLine="480"/>
      </w:pPr>
      <w:r>
        <w:rPr>
          <w:rFonts w:ascii="Times New Roman" w:hAnsi="Times New Roman" w:eastAsia="宋体"/>
          <w:b w:val="0"/>
          <w:sz w:val="24"/>
        </w:rPr>
        <w:t>addition. The saturated vapour concentration can be estimated as follows:</w:t>
      </w:r>
    </w:p>
    <w:p>
      <w:pPr>
        <w:spacing w:line="360" w:lineRule="auto"/>
        <w:ind w:firstLine="480"/>
      </w:pPr>
      <w:r>
        <w:rPr>
          <w:rFonts w:ascii="Times New Roman" w:hAnsi="Times New Roman" w:eastAsia="宋体"/>
          <w:b w:val="0"/>
          <w:sz w:val="24"/>
        </w:rPr>
        <w:t>SVC in ml/m3: SVC = VP ∙ c1</w:t>
      </w:r>
    </w:p>
    <w:p>
      <w:pPr>
        <w:spacing w:line="360" w:lineRule="auto"/>
        <w:ind w:firstLine="480"/>
      </w:pPr>
      <w:r>
        <w:rPr>
          <w:rFonts w:ascii="Times New Roman" w:hAnsi="Times New Roman" w:eastAsia="宋体"/>
          <w:b w:val="0"/>
          <w:sz w:val="24"/>
        </w:rPr>
        <w:t>SVC in g/m3: SVC = VP ∙ MW ∙ c2</w:t>
      </w:r>
    </w:p>
    <w:p>
      <w:pPr>
        <w:spacing w:line="360" w:lineRule="auto"/>
        <w:ind w:firstLine="480"/>
      </w:pPr>
      <w:r>
        <w:rPr>
          <w:rFonts w:ascii="Times New Roman" w:hAnsi="Times New Roman" w:eastAsia="宋体"/>
          <w:b w:val="0"/>
          <w:sz w:val="24"/>
        </w:rPr>
        <w:t>where</w:t>
      </w:r>
    </w:p>
    <w:p>
      <w:pPr>
        <w:spacing w:line="360" w:lineRule="auto"/>
        <w:ind w:firstLine="480"/>
      </w:pPr>
      <w:r>
        <w:rPr>
          <w:rFonts w:ascii="Times New Roman" w:hAnsi="Times New Roman" w:eastAsia="宋体"/>
          <w:b w:val="0"/>
          <w:sz w:val="24"/>
        </w:rPr>
        <w:t>• VP is the vapour pressure in hPa (=mbar)</w:t>
      </w:r>
    </w:p>
    <w:p>
      <w:pPr>
        <w:spacing w:line="360" w:lineRule="auto"/>
        <w:ind w:firstLine="480"/>
      </w:pPr>
      <w:r>
        <w:rPr>
          <w:rFonts w:ascii="Times New Roman" w:hAnsi="Times New Roman" w:eastAsia="宋体"/>
          <w:b w:val="0"/>
          <w:sz w:val="24"/>
        </w:rPr>
        <w:t>• MW is the molecular weight in g/mol and</w:t>
      </w:r>
    </w:p>
    <w:p>
      <w:pPr>
        <w:spacing w:line="360" w:lineRule="auto"/>
        <w:ind w:firstLine="480"/>
      </w:pPr>
      <w:r>
        <w:rPr>
          <w:rFonts w:ascii="Times New Roman" w:hAnsi="Times New Roman" w:eastAsia="宋体"/>
          <w:b w:val="0"/>
          <w:sz w:val="24"/>
        </w:rPr>
        <w:t>• c1 and c2 are conversion factors where c1 = 987.2 ml/(m3∙hPa) and</w:t>
      </w:r>
    </w:p>
    <w:p>
      <w:pPr>
        <w:spacing w:line="360" w:lineRule="auto"/>
        <w:ind w:firstLine="480"/>
      </w:pPr>
      <w:r>
        <w:rPr>
          <w:rFonts w:ascii="Times New Roman" w:hAnsi="Times New Roman" w:eastAsia="宋体"/>
          <w:b w:val="0"/>
          <w:sz w:val="24"/>
        </w:rPr>
        <w:t>c2 = 0.0412 mol/(m3∙hPa)</w:t>
      </w:r>
    </w:p>
    <w:p>
      <w:pPr>
        <w:spacing w:line="360" w:lineRule="auto"/>
        <w:ind w:firstLine="480"/>
      </w:pPr>
      <w:r>
        <w:rPr>
          <w:rFonts w:ascii="Times New Roman" w:hAnsi="Times New Roman" w:eastAsia="宋体"/>
          <w:b w:val="0"/>
          <w:sz w:val="24"/>
        </w:rPr>
        <w:t>Density and/or</w:t>
      </w:r>
    </w:p>
    <w:p>
      <w:pPr>
        <w:spacing w:line="360" w:lineRule="auto"/>
        <w:ind w:firstLine="480"/>
      </w:pPr>
      <w:r>
        <w:rPr>
          <w:rFonts w:ascii="Times New Roman" w:hAnsi="Times New Roman" w:eastAsia="宋体"/>
          <w:b w:val="0"/>
          <w:sz w:val="24"/>
        </w:rPr>
        <w:t>relative density</w:t>
      </w:r>
    </w:p>
    <w:p>
      <w:pPr>
        <w:spacing w:line="360" w:lineRule="auto"/>
        <w:ind w:firstLine="480"/>
      </w:pPr>
      <w:r>
        <w:rPr>
          <w:rFonts w:ascii="Times New Roman" w:hAnsi="Times New Roman" w:eastAsia="宋体"/>
          <w:b w:val="0"/>
          <w:sz w:val="24"/>
        </w:rPr>
        <w:t>− applicable to liquids and solids only</w:t>
      </w:r>
    </w:p>
    <w:p>
      <w:pPr>
        <w:spacing w:line="360" w:lineRule="auto"/>
        <w:ind w:firstLine="480"/>
      </w:pPr>
      <w:r>
        <w:rPr>
          <w:rFonts w:ascii="Times New Roman" w:hAnsi="Times New Roman" w:eastAsia="宋体"/>
          <w:b w:val="0"/>
          <w:sz w:val="24"/>
        </w:rPr>
        <w:t>− generally at standard conditions</w:t>
      </w:r>
    </w:p>
    <w:p>
      <w:pPr>
        <w:spacing w:line="360" w:lineRule="auto"/>
        <w:ind w:firstLine="480"/>
      </w:pPr>
      <w:r>
        <w:rPr>
          <w:rFonts w:ascii="Times New Roman" w:hAnsi="Times New Roman" w:eastAsia="宋体"/>
          <w:b w:val="0"/>
          <w:sz w:val="24"/>
        </w:rPr>
        <w:t>− indicate as appropriate</w:t>
      </w:r>
    </w:p>
    <w:p>
      <w:pPr>
        <w:spacing w:line="360" w:lineRule="auto"/>
        <w:ind w:firstLine="480"/>
      </w:pPr>
      <w:r>
        <w:rPr>
          <w:rFonts w:ascii="Times New Roman" w:hAnsi="Times New Roman" w:eastAsia="宋体"/>
          <w:b w:val="0"/>
          <w:sz w:val="24"/>
        </w:rPr>
        <w:t>• the absolute density and/or</w:t>
      </w:r>
    </w:p>
    <w:p>
      <w:pPr>
        <w:spacing w:line="360" w:lineRule="auto"/>
        <w:ind w:firstLine="480"/>
      </w:pPr>
      <w:r>
        <w:rPr>
          <w:rFonts w:ascii="Times New Roman" w:hAnsi="Times New Roman" w:eastAsia="宋体"/>
          <w:b w:val="0"/>
          <w:sz w:val="24"/>
        </w:rPr>
        <w:t>• the relative density based on water at 4°C as reference (sometimes also</w:t>
      </w:r>
    </w:p>
    <w:p>
      <w:pPr>
        <w:spacing w:line="360" w:lineRule="auto"/>
        <w:ind w:firstLine="480"/>
      </w:pPr>
      <w:r>
        <w:rPr>
          <w:rFonts w:ascii="Times New Roman" w:hAnsi="Times New Roman" w:eastAsia="宋体"/>
          <w:b w:val="0"/>
          <w:sz w:val="24"/>
        </w:rPr>
        <w:t>called the specific gravity)</w:t>
      </w:r>
    </w:p>
    <w:p>
      <w:pPr>
        <w:spacing w:line="360" w:lineRule="auto"/>
        <w:ind w:firstLine="480"/>
      </w:pPr>
      <w:r>
        <w:rPr>
          <w:rFonts w:ascii="Times New Roman" w:hAnsi="Times New Roman" w:eastAsia="宋体"/>
          <w:b w:val="0"/>
          <w:sz w:val="24"/>
        </w:rPr>
        <w:t>− a range may be indicated in cases where variations in density are possible, e.g. due to batch</w:t>
      </w:r>
    </w:p>
    <w:p>
      <w:pPr>
        <w:spacing w:line="360" w:lineRule="auto"/>
        <w:ind w:firstLine="480"/>
      </w:pPr>
      <w:r>
        <w:rPr>
          <w:rFonts w:ascii="Times New Roman" w:hAnsi="Times New Roman" w:eastAsia="宋体"/>
          <w:b w:val="0"/>
          <w:sz w:val="24"/>
        </w:rPr>
        <w:t>manufacture, or where one SDS is used to cover several variants of a substance or mixture</w:t>
      </w:r>
    </w:p>
    <w:p>
      <w:pPr>
        <w:spacing w:line="360" w:lineRule="auto"/>
        <w:ind w:firstLine="480"/>
      </w:pPr>
      <w:r>
        <w:rPr>
          <w:rFonts w:ascii="Times New Roman" w:hAnsi="Times New Roman" w:eastAsia="宋体"/>
          <w:b w:val="0"/>
          <w:sz w:val="24"/>
        </w:rPr>
        <w:t>NOTE: For clarity, the SDS should indicate if absolute density (indicate units) and/or relative</w:t>
      </w:r>
    </w:p>
    <w:p>
      <w:pPr>
        <w:spacing w:line="360" w:lineRule="auto"/>
        <w:ind w:firstLine="480"/>
      </w:pPr>
      <w:r>
        <w:rPr>
          <w:rFonts w:ascii="Times New Roman" w:hAnsi="Times New Roman" w:eastAsia="宋体"/>
          <w:b w:val="0"/>
          <w:sz w:val="24"/>
        </w:rPr>
        <w:t>density (no units) is being reported.</w:t>
      </w:r>
    </w:p>
    <w:p>
      <w:pPr>
        <w:spacing w:line="360" w:lineRule="auto"/>
        <w:ind w:firstLine="480"/>
      </w:pPr>
      <w:r>
        <w:rPr>
          <w:rFonts w:ascii="Times New Roman" w:hAnsi="Times New Roman" w:eastAsia="宋体"/>
          <w:b w:val="0"/>
          <w:sz w:val="24"/>
        </w:rPr>
        <w:t>Relative vapour</w:t>
      </w:r>
    </w:p>
    <w:p>
      <w:pPr>
        <w:spacing w:line="360" w:lineRule="auto"/>
        <w:ind w:firstLine="480"/>
      </w:pPr>
      <w:r>
        <w:rPr>
          <w:rFonts w:ascii="Times New Roman" w:hAnsi="Times New Roman" w:eastAsia="宋体"/>
          <w:b w:val="0"/>
          <w:sz w:val="24"/>
        </w:rPr>
        <w:t>density</w:t>
      </w:r>
    </w:p>
    <w:p>
      <w:pPr>
        <w:spacing w:line="360" w:lineRule="auto"/>
        <w:ind w:firstLine="480"/>
      </w:pPr>
      <w:r>
        <w:rPr>
          <w:rFonts w:ascii="Times New Roman" w:hAnsi="Times New Roman" w:eastAsia="宋体"/>
          <w:b w:val="0"/>
          <w:sz w:val="24"/>
        </w:rPr>
        <w:t>− applicable to gases and liquids only</w:t>
      </w:r>
    </w:p>
    <w:p>
      <w:pPr>
        <w:spacing w:line="360" w:lineRule="auto"/>
        <w:ind w:firstLine="480"/>
      </w:pPr>
      <w:r>
        <w:rPr>
          <w:rFonts w:ascii="Times New Roman" w:hAnsi="Times New Roman" w:eastAsia="宋体"/>
          <w:b w:val="0"/>
          <w:sz w:val="24"/>
        </w:rPr>
        <w:t>− for gases, indicate the relative density of the gas based on air at 20 °C as reference (=MW/29)</w:t>
      </w:r>
    </w:p>
    <w:p>
      <w:pPr>
        <w:spacing w:line="360" w:lineRule="auto"/>
        <w:ind w:firstLine="480"/>
      </w:pPr>
      <w:r>
        <w:rPr>
          <w:rFonts w:ascii="Times New Roman" w:hAnsi="Times New Roman" w:eastAsia="宋体"/>
          <w:b w:val="0"/>
          <w:sz w:val="24"/>
        </w:rPr>
        <w:t>− for liquids, indicate the relative vapour density based on air at 20 °C as reference (=MW/29)</w:t>
      </w:r>
    </w:p>
    <w:p>
      <w:pPr>
        <w:spacing w:line="360" w:lineRule="auto"/>
        <w:ind w:firstLine="480"/>
      </w:pPr>
      <w:r>
        <w:rPr>
          <w:rFonts w:ascii="Times New Roman" w:hAnsi="Times New Roman" w:eastAsia="宋体"/>
          <w:b w:val="0"/>
          <w:sz w:val="24"/>
        </w:rPr>
        <w:t>− for liquids, the relative density (Dm) of the vapour/air-mixture at 20 °C (air = 1) may be</w:t>
      </w:r>
    </w:p>
    <w:p>
      <w:pPr>
        <w:spacing w:line="360" w:lineRule="auto"/>
        <w:ind w:firstLine="480"/>
      </w:pPr>
      <w:r>
        <w:rPr>
          <w:rFonts w:ascii="Times New Roman" w:hAnsi="Times New Roman" w:eastAsia="宋体"/>
          <w:b w:val="0"/>
          <w:sz w:val="24"/>
        </w:rPr>
        <w:t>indicated in addition. It can be calculated as follows:</w:t>
      </w:r>
    </w:p>
    <w:p>
      <w:pPr>
        <w:spacing w:line="360" w:lineRule="auto"/>
        <w:ind w:firstLine="480"/>
      </w:pPr>
      <w:r>
        <w:rPr>
          <w:rFonts w:ascii="Times New Roman" w:hAnsi="Times New Roman" w:eastAsia="宋体"/>
          <w:b w:val="0"/>
          <w:sz w:val="24"/>
        </w:rPr>
        <w:t>Dm = 1 + (VP20 ∙ (MW – Mwair) ∙ c3</w:t>
      </w:r>
    </w:p>
    <w:p>
      <w:pPr>
        <w:spacing w:line="360" w:lineRule="auto"/>
        <w:ind w:firstLine="480"/>
      </w:pPr>
      <w:r>
        <w:rPr>
          <w:rFonts w:ascii="Times New Roman" w:hAnsi="Times New Roman" w:eastAsia="宋体"/>
          <w:b w:val="0"/>
          <w:sz w:val="24"/>
        </w:rPr>
        <w:t>where</w:t>
      </w:r>
    </w:p>
    <w:p>
      <w:pPr>
        <w:spacing w:line="360" w:lineRule="auto"/>
        <w:ind w:firstLine="480"/>
      </w:pPr>
      <w:r>
        <w:rPr>
          <w:rFonts w:ascii="Times New Roman" w:hAnsi="Times New Roman" w:eastAsia="宋体"/>
          <w:b w:val="0"/>
          <w:sz w:val="24"/>
        </w:rPr>
        <w:t>• VP20 is the vapour pressure at 20 °C in hPa (=mbar)</w:t>
      </w:r>
    </w:p>
    <w:p>
      <w:pPr>
        <w:spacing w:line="360" w:lineRule="auto"/>
        <w:ind w:firstLine="480"/>
      </w:pPr>
      <w:r>
        <w:rPr>
          <w:rFonts w:ascii="Times New Roman" w:hAnsi="Times New Roman" w:eastAsia="宋体"/>
          <w:b w:val="0"/>
          <w:sz w:val="24"/>
        </w:rPr>
        <w:t>• MW is the molecular weight in g/mol</w:t>
      </w:r>
    </w:p>
    <w:p>
      <w:pPr>
        <w:spacing w:line="360" w:lineRule="auto"/>
        <w:ind w:firstLine="480"/>
      </w:pPr>
      <w:r>
        <w:rPr>
          <w:rFonts w:ascii="Times New Roman" w:hAnsi="Times New Roman" w:eastAsia="宋体"/>
          <w:b w:val="0"/>
          <w:sz w:val="24"/>
        </w:rPr>
        <w:t>• MWair is the molecular weight of air, MWair = 29 g/mol</w:t>
      </w:r>
    </w:p>
    <w:p>
      <w:pPr>
        <w:spacing w:line="360" w:lineRule="auto"/>
        <w:ind w:firstLine="480"/>
      </w:pPr>
      <w:r>
        <w:rPr>
          <w:rFonts w:ascii="Times New Roman" w:hAnsi="Times New Roman" w:eastAsia="宋体"/>
          <w:b w:val="0"/>
          <w:sz w:val="24"/>
        </w:rPr>
        <w:t>• c3 is a conversion factor, 𝑐𝑐3 = 34 ∙10−6</w:t>
      </w:r>
    </w:p>
    <w:p>
      <w:pPr>
        <w:spacing w:line="360" w:lineRule="auto"/>
        <w:ind w:firstLine="480"/>
      </w:pPr>
      <w:r>
        <w:rPr>
          <w:rFonts w:ascii="Times New Roman" w:hAnsi="Times New Roman" w:eastAsia="宋体"/>
          <w:b w:val="0"/>
          <w:sz w:val="24"/>
        </w:rPr>
        <w:t>mol</w:t>
      </w:r>
    </w:p>
    <w:p>
      <w:pPr>
        <w:spacing w:line="360" w:lineRule="auto"/>
        <w:ind w:firstLine="480"/>
      </w:pPr>
      <w:r>
        <w:rPr>
          <w:rFonts w:ascii="Times New Roman" w:hAnsi="Times New Roman" w:eastAsia="宋体"/>
          <w:b w:val="0"/>
          <w:sz w:val="24"/>
        </w:rPr>
        <w:t>g∙hPa</w:t>
      </w:r>
    </w:p>
    <w:p>
      <w:pPr>
        <w:spacing w:line="360" w:lineRule="auto"/>
        <w:ind w:firstLine="480"/>
      </w:pPr>
      <w:r>
        <w:rPr>
          <w:rFonts w:ascii="Times New Roman" w:hAnsi="Times New Roman" w:eastAsia="宋体"/>
          <w:b w:val="0"/>
          <w:sz w:val="24"/>
        </w:rPr>
        <w:t>Particle</w:t>
      </w:r>
    </w:p>
    <w:p>
      <w:pPr>
        <w:spacing w:line="360" w:lineRule="auto"/>
        <w:ind w:firstLine="480"/>
      </w:pPr>
      <w:r>
        <w:rPr>
          <w:rFonts w:ascii="Times New Roman" w:hAnsi="Times New Roman" w:eastAsia="宋体"/>
          <w:b w:val="0"/>
          <w:sz w:val="24"/>
        </w:rPr>
        <w:t>characteristics</w:t>
      </w:r>
    </w:p>
    <w:p>
      <w:pPr>
        <w:spacing w:line="360" w:lineRule="auto"/>
        <w:ind w:firstLine="480"/>
      </w:pPr>
      <w:r>
        <w:rPr>
          <w:rFonts w:ascii="Times New Roman" w:hAnsi="Times New Roman" w:eastAsia="宋体"/>
          <w:b w:val="0"/>
          <w:sz w:val="24"/>
        </w:rPr>
        <w:t>− applicable to solids only</w:t>
      </w:r>
    </w:p>
    <w:p>
      <w:pPr>
        <w:spacing w:line="360" w:lineRule="auto"/>
        <w:ind w:firstLine="480"/>
      </w:pPr>
      <w:r>
        <w:rPr>
          <w:rFonts w:ascii="Times New Roman" w:hAnsi="Times New Roman" w:eastAsia="宋体"/>
          <w:b w:val="0"/>
          <w:sz w:val="24"/>
        </w:rPr>
        <w:t>− indicate the particle size (median and range)</w:t>
      </w:r>
    </w:p>
    <w:p>
      <w:pPr>
        <w:spacing w:line="360" w:lineRule="auto"/>
        <w:ind w:firstLine="480"/>
      </w:pPr>
      <w:r>
        <w:rPr>
          <w:rFonts w:ascii="Times New Roman" w:hAnsi="Times New Roman" w:eastAsia="宋体"/>
          <w:b w:val="0"/>
          <w:sz w:val="24"/>
        </w:rPr>
        <w:t>− if available and appropriate, further properties may be indicated in addition, e.g.</w:t>
      </w:r>
    </w:p>
    <w:p>
      <w:pPr>
        <w:spacing w:line="360" w:lineRule="auto"/>
        <w:ind w:firstLine="480"/>
      </w:pPr>
      <w:r>
        <w:rPr>
          <w:rFonts w:ascii="Times New Roman" w:hAnsi="Times New Roman" w:eastAsia="宋体"/>
          <w:b w:val="0"/>
          <w:sz w:val="24"/>
        </w:rPr>
        <w:t>• size distribution (range)</w:t>
      </w:r>
    </w:p>
    <w:p>
      <w:pPr>
        <w:spacing w:line="360" w:lineRule="auto"/>
        <w:ind w:firstLine="480"/>
      </w:pPr>
      <w:r>
        <w:rPr>
          <w:rFonts w:ascii="Times New Roman" w:hAnsi="Times New Roman" w:eastAsia="宋体"/>
          <w:b w:val="0"/>
          <w:sz w:val="24"/>
        </w:rPr>
        <w:t>• shape and aspect ratio</w:t>
      </w:r>
    </w:p>
    <w:p>
      <w:pPr>
        <w:spacing w:line="360" w:lineRule="auto"/>
        <w:ind w:firstLine="480"/>
      </w:pPr>
      <w:r>
        <w:rPr>
          <w:rFonts w:ascii="Times New Roman" w:hAnsi="Times New Roman" w:eastAsia="宋体"/>
          <w:b w:val="0"/>
          <w:sz w:val="24"/>
        </w:rPr>
        <w:t>• specific surface area</w:t>
      </w:r>
    </w:p>
    <w:p>
      <w:pPr>
        <w:spacing w:line="360" w:lineRule="auto"/>
        <w:ind w:firstLine="480"/>
      </w:pPr>
      <w:r>
        <w:rPr>
          <w:rFonts w:ascii="Times New Roman" w:hAnsi="Times New Roman" w:eastAsia="宋体"/>
          <w:b w:val="0"/>
          <w:sz w:val="24"/>
        </w:rPr>
        <w:t>- 421 -</w:t>
      </w:r>
    </w:p>
    <w:p>
      <w:pPr>
        <w:spacing w:line="360" w:lineRule="auto"/>
        <w:ind w:firstLine="480"/>
      </w:pPr>
      <w:r>
        <w:rPr>
          <w:rFonts w:ascii="Times New Roman" w:hAnsi="Times New Roman" w:eastAsia="宋体"/>
          <w:b w:val="0"/>
          <w:sz w:val="24"/>
        </w:rPr>
        <w:t>Table A4.3.9.2: Data relevant with regard to physical hazard classes (supplemental)</w:t>
      </w:r>
    </w:p>
    <w:p>
      <w:pPr>
        <w:spacing w:line="360" w:lineRule="auto"/>
        <w:ind w:firstLine="480"/>
      </w:pPr>
      <w:r>
        <w:rPr>
          <w:rFonts w:ascii="Times New Roman" w:hAnsi="Times New Roman" w:eastAsia="宋体"/>
          <w:b w:val="0"/>
          <w:sz w:val="24"/>
        </w:rPr>
        <w:t>This table lists properties/safety characteristics and test results that are not required on the SDS but may</w:t>
      </w:r>
    </w:p>
    <w:p>
      <w:pPr>
        <w:spacing w:line="360" w:lineRule="auto"/>
        <w:ind w:firstLine="480"/>
      </w:pPr>
      <w:r>
        <w:rPr>
          <w:rFonts w:ascii="Times New Roman" w:hAnsi="Times New Roman" w:eastAsia="宋体"/>
          <w:b w:val="0"/>
          <w:sz w:val="24"/>
        </w:rPr>
        <w:t>be useful to communicate when a substance or mixture is classified in the respective physical hazard class. Data which is</w:t>
      </w:r>
    </w:p>
    <w:p>
      <w:pPr>
        <w:spacing w:line="360" w:lineRule="auto"/>
        <w:ind w:firstLine="480"/>
      </w:pPr>
      <w:r>
        <w:rPr>
          <w:rFonts w:ascii="Times New Roman" w:hAnsi="Times New Roman" w:eastAsia="宋体"/>
          <w:b w:val="0"/>
          <w:sz w:val="24"/>
        </w:rPr>
        <w:t>deemed relevant with regard to a specific physical hazard but not resulting in classification (e.g. negative test results close</w:t>
      </w:r>
    </w:p>
    <w:p>
      <w:pPr>
        <w:spacing w:line="360" w:lineRule="auto"/>
        <w:ind w:firstLine="480"/>
      </w:pPr>
      <w:r>
        <w:rPr>
          <w:rFonts w:ascii="Times New Roman" w:hAnsi="Times New Roman" w:eastAsia="宋体"/>
          <w:b w:val="0"/>
          <w:sz w:val="24"/>
        </w:rPr>
        <w:t>to the criterion) may also be useful to communicate. Include any relevant information, such as a short description, value(s),</w:t>
      </w:r>
    </w:p>
    <w:p>
      <w:pPr>
        <w:spacing w:line="360" w:lineRule="auto"/>
        <w:ind w:firstLine="480"/>
      </w:pPr>
      <w:r>
        <w:rPr>
          <w:rFonts w:ascii="Times New Roman" w:hAnsi="Times New Roman" w:eastAsia="宋体"/>
          <w:b w:val="0"/>
          <w:sz w:val="24"/>
        </w:rPr>
        <w:t>unit, conditions (e.g. temperature, pressure), method, each as appropriate.</w:t>
      </w:r>
    </w:p>
    <w:p>
      <w:pPr>
        <w:spacing w:line="360" w:lineRule="auto"/>
        <w:ind w:firstLine="480"/>
      </w:pPr>
      <w:r>
        <w:rPr>
          <w:rFonts w:ascii="Times New Roman" w:hAnsi="Times New Roman" w:eastAsia="宋体"/>
          <w:b w:val="0"/>
          <w:sz w:val="24"/>
        </w:rPr>
        <w:t>The name of the hazard class the data relates to may be indicated together with the data but it is not</w:t>
      </w:r>
    </w:p>
    <w:p>
      <w:pPr>
        <w:spacing w:line="360" w:lineRule="auto"/>
        <w:ind w:firstLine="480"/>
      </w:pPr>
      <w:r>
        <w:rPr>
          <w:rFonts w:ascii="Times New Roman" w:hAnsi="Times New Roman" w:eastAsia="宋体"/>
          <w:b w:val="0"/>
          <w:sz w:val="24"/>
        </w:rPr>
        <w:t>necessary to do so because the resulting classification is already indicated in section 2 of the SDS. Thus, the data may be</w:t>
      </w:r>
    </w:p>
    <w:p>
      <w:pPr>
        <w:spacing w:line="360" w:lineRule="auto"/>
        <w:ind w:firstLine="480"/>
      </w:pPr>
      <w:r>
        <w:rPr>
          <w:rFonts w:ascii="Times New Roman" w:hAnsi="Times New Roman" w:eastAsia="宋体"/>
          <w:b w:val="0"/>
          <w:sz w:val="24"/>
        </w:rPr>
        <w:t>listed in the same way as the data according to table A4.3.9.1.</w:t>
      </w:r>
    </w:p>
    <w:p>
      <w:pPr>
        <w:spacing w:line="360" w:lineRule="auto"/>
        <w:ind w:firstLine="480"/>
      </w:pPr>
      <w:r>
        <w:rPr>
          <w:rFonts w:ascii="Times New Roman" w:hAnsi="Times New Roman" w:eastAsia="宋体"/>
          <w:b w:val="0"/>
          <w:sz w:val="24"/>
        </w:rPr>
        <w:t>Unless otherwise specified, the test methods referred to in this table are described in the Manual of Tests</w:t>
      </w:r>
    </w:p>
    <w:p>
      <w:pPr>
        <w:spacing w:line="360" w:lineRule="auto"/>
        <w:ind w:firstLine="480"/>
      </w:pPr>
      <w:r>
        <w:rPr>
          <w:rFonts w:ascii="Times New Roman" w:hAnsi="Times New Roman" w:eastAsia="宋体"/>
          <w:b w:val="0"/>
          <w:sz w:val="24"/>
        </w:rPr>
        <w:t>and Criteria.</w:t>
      </w:r>
    </w:p>
    <w:p>
      <w:pPr>
        <w:spacing w:line="360" w:lineRule="auto"/>
        <w:ind w:firstLine="480"/>
      </w:pPr>
      <w:r>
        <w:rPr>
          <w:rFonts w:ascii="Times New Roman" w:hAnsi="Times New Roman" w:eastAsia="宋体"/>
          <w:b w:val="0"/>
          <w:sz w:val="24"/>
        </w:rPr>
        <w:t>Chapter</w:t>
      </w:r>
    </w:p>
    <w:p>
      <w:pPr>
        <w:spacing w:line="360" w:lineRule="auto"/>
        <w:ind w:firstLine="480"/>
      </w:pPr>
      <w:r>
        <w:rPr>
          <w:rFonts w:ascii="Times New Roman" w:hAnsi="Times New Roman" w:eastAsia="宋体"/>
          <w:b w:val="0"/>
          <w:sz w:val="24"/>
        </w:rPr>
        <w:t>Hazard class</w:t>
      </w:r>
    </w:p>
    <w:p>
      <w:pPr>
        <w:spacing w:line="360" w:lineRule="auto"/>
        <w:ind w:firstLine="480"/>
      </w:pPr>
      <w:r>
        <w:rPr>
          <w:rFonts w:ascii="Times New Roman" w:hAnsi="Times New Roman" w:eastAsia="宋体"/>
          <w:b w:val="0"/>
          <w:sz w:val="24"/>
        </w:rPr>
        <w:t>Property/Safety characteristic/Test result and</w:t>
      </w:r>
    </w:p>
    <w:p>
      <w:pPr>
        <w:spacing w:line="360" w:lineRule="auto"/>
        <w:ind w:firstLine="480"/>
      </w:pPr>
      <w:r>
        <w:rPr>
          <w:rFonts w:ascii="Times New Roman" w:hAnsi="Times New Roman" w:eastAsia="宋体"/>
          <w:b w:val="0"/>
          <w:sz w:val="24"/>
        </w:rPr>
        <w:t>Remarks/Guidance</w:t>
      </w:r>
    </w:p>
    <w:p>
      <w:pPr>
        <w:spacing w:line="360" w:lineRule="auto"/>
        <w:ind w:firstLine="480"/>
      </w:pPr>
      <w:r>
        <w:rPr>
          <w:rFonts w:ascii="Times New Roman" w:hAnsi="Times New Roman" w:eastAsia="宋体"/>
          <w:b w:val="0"/>
          <w:sz w:val="24"/>
        </w:rPr>
        <w:t>2.1</w:t>
      </w:r>
    </w:p>
    <w:p>
      <w:pPr>
        <w:spacing w:line="360" w:lineRule="auto"/>
        <w:ind w:firstLine="480"/>
      </w:pPr>
      <w:r>
        <w:rPr>
          <w:rFonts w:ascii="Times New Roman" w:hAnsi="Times New Roman" w:eastAsia="宋体"/>
          <w:b w:val="0"/>
          <w:sz w:val="24"/>
        </w:rPr>
        <w:t>Explosives</w:t>
      </w:r>
    </w:p>
    <w:p>
      <w:pPr>
        <w:spacing w:line="360" w:lineRule="auto"/>
        <w:ind w:firstLine="480"/>
      </w:pPr>
      <w:r>
        <w:rPr>
          <w:rFonts w:ascii="Times New Roman" w:hAnsi="Times New Roman" w:eastAsia="宋体"/>
          <w:b w:val="0"/>
          <w:sz w:val="24"/>
        </w:rPr>
        <w:t>− indicate the sensitivity to shock, generally determined by the UN gap test: test 1 (a)</w:t>
      </w:r>
    </w:p>
    <w:p>
      <w:pPr>
        <w:spacing w:line="360" w:lineRule="auto"/>
        <w:ind w:firstLine="480"/>
      </w:pPr>
      <w:r>
        <w:rPr>
          <w:rFonts w:ascii="Times New Roman" w:hAnsi="Times New Roman" w:eastAsia="宋体"/>
          <w:b w:val="0"/>
          <w:sz w:val="24"/>
        </w:rPr>
        <w:t>and/or test 2 (a) (section 11.4 or 12.4 of the Manual of Tests and Criteria) (indicate at</w:t>
      </w:r>
    </w:p>
    <w:p>
      <w:pPr>
        <w:spacing w:line="360" w:lineRule="auto"/>
        <w:ind w:firstLine="480"/>
      </w:pPr>
      <w:r>
        <w:rPr>
          <w:rFonts w:ascii="Times New Roman" w:hAnsi="Times New Roman" w:eastAsia="宋体"/>
          <w:b w:val="0"/>
          <w:sz w:val="24"/>
        </w:rPr>
        <w:t>least + or −)</w:t>
      </w:r>
    </w:p>
    <w:p>
      <w:pPr>
        <w:spacing w:line="360" w:lineRule="auto"/>
        <w:ind w:firstLine="480"/>
      </w:pPr>
      <w:r>
        <w:rPr>
          <w:rFonts w:ascii="Times New Roman" w:hAnsi="Times New Roman" w:eastAsia="宋体"/>
          <w:b w:val="0"/>
          <w:sz w:val="24"/>
        </w:rPr>
        <w:t>− indicate the effect of heating under confinement, generally determined by the Koenen</w:t>
      </w:r>
    </w:p>
    <w:p>
      <w:pPr>
        <w:spacing w:line="360" w:lineRule="auto"/>
        <w:ind w:firstLine="480"/>
      </w:pPr>
      <w:r>
        <w:rPr>
          <w:rFonts w:ascii="Times New Roman" w:hAnsi="Times New Roman" w:eastAsia="宋体"/>
          <w:b w:val="0"/>
          <w:sz w:val="24"/>
        </w:rPr>
        <w:t>test: test 1 (b) and/or test 2 (b) (section 11.5 or 12.5 of the Manual of Tests and</w:t>
      </w:r>
    </w:p>
    <w:p>
      <w:pPr>
        <w:spacing w:line="360" w:lineRule="auto"/>
        <w:ind w:firstLine="480"/>
      </w:pPr>
      <w:r>
        <w:rPr>
          <w:rFonts w:ascii="Times New Roman" w:hAnsi="Times New Roman" w:eastAsia="宋体"/>
          <w:b w:val="0"/>
          <w:sz w:val="24"/>
        </w:rPr>
        <w:t>Criteria) (indicate preferably the limiting diameter)</w:t>
      </w:r>
    </w:p>
    <w:p>
      <w:pPr>
        <w:spacing w:line="360" w:lineRule="auto"/>
        <w:ind w:firstLine="480"/>
      </w:pPr>
      <w:r>
        <w:rPr>
          <w:rFonts w:ascii="Times New Roman" w:hAnsi="Times New Roman" w:eastAsia="宋体"/>
          <w:b w:val="0"/>
          <w:sz w:val="24"/>
        </w:rPr>
        <w:t>− indicate the effect of ignition under confinement, generally determined by test 1 (c)</w:t>
      </w:r>
    </w:p>
    <w:p>
      <w:pPr>
        <w:spacing w:line="360" w:lineRule="auto"/>
        <w:ind w:firstLine="480"/>
      </w:pPr>
      <w:r>
        <w:rPr>
          <w:rFonts w:ascii="Times New Roman" w:hAnsi="Times New Roman" w:eastAsia="宋体"/>
          <w:b w:val="0"/>
          <w:sz w:val="24"/>
        </w:rPr>
        <w:t>and/or test 2 (c) (section 11.6 or 12.6 of the Manual of Tests and Criteria) (indicate at</w:t>
      </w:r>
    </w:p>
    <w:p>
      <w:pPr>
        <w:spacing w:line="360" w:lineRule="auto"/>
        <w:ind w:firstLine="480"/>
      </w:pPr>
      <w:r>
        <w:rPr>
          <w:rFonts w:ascii="Times New Roman" w:hAnsi="Times New Roman" w:eastAsia="宋体"/>
          <w:b w:val="0"/>
          <w:sz w:val="24"/>
        </w:rPr>
        <w:t>least + or −)</w:t>
      </w:r>
    </w:p>
    <w:p>
      <w:pPr>
        <w:spacing w:line="360" w:lineRule="auto"/>
        <w:ind w:firstLine="480"/>
      </w:pPr>
      <w:r>
        <w:rPr>
          <w:rFonts w:ascii="Times New Roman" w:hAnsi="Times New Roman" w:eastAsia="宋体"/>
          <w:b w:val="0"/>
          <w:sz w:val="24"/>
        </w:rPr>
        <w:t>− indicate the sensitiveness to impact, generally determined by test 3 (a) (section 13.4</w:t>
      </w:r>
    </w:p>
    <w:p>
      <w:pPr>
        <w:spacing w:line="360" w:lineRule="auto"/>
        <w:ind w:firstLine="480"/>
      </w:pPr>
      <w:r>
        <w:rPr>
          <w:rFonts w:ascii="Times New Roman" w:hAnsi="Times New Roman" w:eastAsia="宋体"/>
          <w:b w:val="0"/>
          <w:sz w:val="24"/>
        </w:rPr>
        <w:t>of the Manual of Tests and Criteria) (indicate preferably the limiting impact energy)</w:t>
      </w:r>
    </w:p>
    <w:p>
      <w:pPr>
        <w:spacing w:line="360" w:lineRule="auto"/>
        <w:ind w:firstLine="480"/>
      </w:pPr>
      <w:r>
        <w:rPr>
          <w:rFonts w:ascii="Times New Roman" w:hAnsi="Times New Roman" w:eastAsia="宋体"/>
          <w:b w:val="0"/>
          <w:sz w:val="24"/>
        </w:rPr>
        <w:t>− indicate the sensitiveness to friction, generally determined by test 3 (b) (section 13.5 of</w:t>
      </w:r>
    </w:p>
    <w:p>
      <w:pPr>
        <w:spacing w:line="360" w:lineRule="auto"/>
        <w:ind w:firstLine="480"/>
      </w:pPr>
      <w:r>
        <w:rPr>
          <w:rFonts w:ascii="Times New Roman" w:hAnsi="Times New Roman" w:eastAsia="宋体"/>
          <w:b w:val="0"/>
          <w:sz w:val="24"/>
        </w:rPr>
        <w:t>the Manual of Tests and Criteria) (indicate preferably the limiting load)</w:t>
      </w:r>
    </w:p>
    <w:p>
      <w:pPr>
        <w:spacing w:line="360" w:lineRule="auto"/>
        <w:ind w:firstLine="480"/>
      </w:pPr>
      <w:r>
        <w:rPr>
          <w:rFonts w:ascii="Times New Roman" w:hAnsi="Times New Roman" w:eastAsia="宋体"/>
          <w:b w:val="0"/>
          <w:sz w:val="24"/>
        </w:rPr>
        <w:t>− indicate the thermal stability, generally determined by test 3 (c) (section 13.6 of the</w:t>
      </w:r>
    </w:p>
    <w:p>
      <w:pPr>
        <w:spacing w:line="360" w:lineRule="auto"/>
        <w:ind w:firstLine="480"/>
      </w:pPr>
      <w:r>
        <w:rPr>
          <w:rFonts w:ascii="Times New Roman" w:hAnsi="Times New Roman" w:eastAsia="宋体"/>
          <w:b w:val="0"/>
          <w:sz w:val="24"/>
        </w:rPr>
        <w:t>Manual of Tests and Criteria) (indicate at least + or −)</w:t>
      </w:r>
    </w:p>
    <w:p>
      <w:pPr>
        <w:spacing w:line="360" w:lineRule="auto"/>
        <w:ind w:firstLine="480"/>
      </w:pPr>
      <w:r>
        <w:rPr>
          <w:rFonts w:ascii="Times New Roman" w:hAnsi="Times New Roman" w:eastAsia="宋体"/>
          <w:b w:val="0"/>
          <w:sz w:val="24"/>
        </w:rPr>
        <w:t>− in addition, this entry is also applicable to substances and mixtures which are</w:t>
      </w:r>
    </w:p>
    <w:p>
      <w:pPr>
        <w:spacing w:line="360" w:lineRule="auto"/>
        <w:ind w:firstLine="480"/>
      </w:pPr>
      <w:r>
        <w:rPr>
          <w:rFonts w:ascii="Times New Roman" w:hAnsi="Times New Roman" w:eastAsia="宋体"/>
          <w:b w:val="0"/>
          <w:sz w:val="24"/>
        </w:rPr>
        <w:t>exempted based on note 2 in chapter 2.1, section 2.1.3 and to other substances and</w:t>
      </w:r>
    </w:p>
    <w:p>
      <w:pPr>
        <w:spacing w:line="360" w:lineRule="auto"/>
        <w:ind w:firstLine="480"/>
      </w:pPr>
      <w:r>
        <w:rPr>
          <w:rFonts w:ascii="Times New Roman" w:hAnsi="Times New Roman" w:eastAsia="宋体"/>
          <w:b w:val="0"/>
          <w:sz w:val="24"/>
        </w:rPr>
        <w:t>mixtures which show a positive effect if heated under confinement</w:t>
      </w:r>
    </w:p>
    <w:p>
      <w:pPr>
        <w:spacing w:line="360" w:lineRule="auto"/>
        <w:ind w:firstLine="480"/>
      </w:pPr>
      <w:r>
        <w:rPr>
          <w:rFonts w:ascii="Times New Roman" w:hAnsi="Times New Roman" w:eastAsia="宋体"/>
          <w:b w:val="0"/>
          <w:sz w:val="24"/>
        </w:rPr>
        <w:t>− indicate the package (type, size, net mass of substance or mixture) based on which the</w:t>
      </w:r>
    </w:p>
    <w:p>
      <w:pPr>
        <w:spacing w:line="360" w:lineRule="auto"/>
        <w:ind w:firstLine="480"/>
      </w:pPr>
      <w:r>
        <w:rPr>
          <w:rFonts w:ascii="Times New Roman" w:hAnsi="Times New Roman" w:eastAsia="宋体"/>
          <w:b w:val="0"/>
          <w:sz w:val="24"/>
        </w:rPr>
        <w:t>division was assigned or based on which the substance or mixture was exempted</w:t>
      </w:r>
    </w:p>
    <w:p>
      <w:pPr>
        <w:spacing w:line="360" w:lineRule="auto"/>
        <w:ind w:firstLine="480"/>
      </w:pPr>
      <w:r>
        <w:rPr>
          <w:rFonts w:ascii="Times New Roman" w:hAnsi="Times New Roman" w:eastAsia="宋体"/>
          <w:b w:val="0"/>
          <w:sz w:val="24"/>
        </w:rPr>
        <w:t>2.2</w:t>
      </w:r>
    </w:p>
    <w:p>
      <w:pPr>
        <w:spacing w:line="360" w:lineRule="auto"/>
        <w:ind w:firstLine="480"/>
      </w:pPr>
      <w:r>
        <w:rPr>
          <w:rFonts w:ascii="Times New Roman" w:hAnsi="Times New Roman" w:eastAsia="宋体"/>
          <w:b w:val="0"/>
          <w:sz w:val="24"/>
        </w:rPr>
        <w:t>Flammable</w:t>
      </w:r>
    </w:p>
    <w:p>
      <w:pPr>
        <w:spacing w:line="360" w:lineRule="auto"/>
        <w:ind w:firstLine="480"/>
      </w:pPr>
      <w:r>
        <w:rPr>
          <w:rFonts w:ascii="Times New Roman" w:hAnsi="Times New Roman" w:eastAsia="宋体"/>
          <w:b w:val="0"/>
          <w:sz w:val="24"/>
        </w:rPr>
        <w:t>gases</w:t>
      </w:r>
    </w:p>
    <w:p>
      <w:pPr>
        <w:spacing w:line="360" w:lineRule="auto"/>
        <w:ind w:firstLine="480"/>
      </w:pPr>
      <w:r>
        <w:rPr>
          <w:rFonts w:ascii="Times New Roman" w:hAnsi="Times New Roman" w:eastAsia="宋体"/>
          <w:b w:val="0"/>
          <w:sz w:val="24"/>
        </w:rPr>
        <w:t>for pure flammable gases:</w:t>
      </w:r>
    </w:p>
    <w:p>
      <w:pPr>
        <w:spacing w:line="360" w:lineRule="auto"/>
        <w:ind w:firstLine="480"/>
      </w:pPr>
      <w:r>
        <w:rPr>
          <w:rFonts w:ascii="Times New Roman" w:hAnsi="Times New Roman" w:eastAsia="宋体"/>
          <w:b w:val="0"/>
          <w:sz w:val="24"/>
        </w:rPr>
        <w:t>− no data on the explosion/flammability limits is needed because these are indicated</w:t>
      </w:r>
    </w:p>
    <w:p>
      <w:pPr>
        <w:spacing w:line="360" w:lineRule="auto"/>
        <w:ind w:firstLine="480"/>
      </w:pPr>
      <w:r>
        <w:rPr>
          <w:rFonts w:ascii="Times New Roman" w:hAnsi="Times New Roman" w:eastAsia="宋体"/>
          <w:b w:val="0"/>
          <w:sz w:val="24"/>
        </w:rPr>
        <w:t>based on table A4.3.9.1</w:t>
      </w:r>
    </w:p>
    <w:p>
      <w:pPr>
        <w:spacing w:line="360" w:lineRule="auto"/>
        <w:ind w:firstLine="480"/>
      </w:pPr>
      <w:r>
        <w:rPr>
          <w:rFonts w:ascii="Times New Roman" w:hAnsi="Times New Roman" w:eastAsia="宋体"/>
          <w:b w:val="0"/>
          <w:sz w:val="24"/>
        </w:rPr>
        <w:t>− indicate the TCi (maximum content of flammable gas which, when mixed with</w:t>
      </w:r>
    </w:p>
    <w:p>
      <w:pPr>
        <w:spacing w:line="360" w:lineRule="auto"/>
        <w:ind w:firstLine="480"/>
      </w:pPr>
      <w:r>
        <w:rPr>
          <w:rFonts w:ascii="Times New Roman" w:hAnsi="Times New Roman" w:eastAsia="宋体"/>
          <w:b w:val="0"/>
          <w:sz w:val="24"/>
        </w:rPr>
        <w:t>nitrogen, is not flammable in air, in %) as per ISO 10156</w:t>
      </w:r>
    </w:p>
    <w:p>
      <w:pPr>
        <w:spacing w:line="360" w:lineRule="auto"/>
        <w:ind w:firstLine="480"/>
      </w:pPr>
      <w:r>
        <w:rPr>
          <w:rFonts w:ascii="Times New Roman" w:hAnsi="Times New Roman" w:eastAsia="宋体"/>
          <w:b w:val="0"/>
          <w:sz w:val="24"/>
        </w:rPr>
        <w:t>− indicate the fundamental burning velocity if the gas is classified as Category 1B based</w:t>
      </w:r>
    </w:p>
    <w:p>
      <w:pPr>
        <w:spacing w:line="360" w:lineRule="auto"/>
        <w:ind w:firstLine="480"/>
      </w:pPr>
      <w:r>
        <w:rPr>
          <w:rFonts w:ascii="Times New Roman" w:hAnsi="Times New Roman" w:eastAsia="宋体"/>
          <w:b w:val="0"/>
          <w:sz w:val="24"/>
        </w:rPr>
        <w:t>on fundamental burning velocity, generally determined by ISO 817:2014, Annex C</w:t>
      </w:r>
    </w:p>
    <w:p>
      <w:pPr>
        <w:spacing w:line="360" w:lineRule="auto"/>
        <w:ind w:firstLine="480"/>
      </w:pPr>
      <w:r>
        <w:rPr>
          <w:rFonts w:ascii="Times New Roman" w:hAnsi="Times New Roman" w:eastAsia="宋体"/>
          <w:b w:val="0"/>
          <w:sz w:val="24"/>
        </w:rPr>
        <w:t>for flammable gas mixtures:</w:t>
      </w:r>
    </w:p>
    <w:p>
      <w:pPr>
        <w:spacing w:line="360" w:lineRule="auto"/>
        <w:ind w:firstLine="480"/>
      </w:pPr>
      <w:r>
        <w:rPr>
          <w:rFonts w:ascii="Times New Roman" w:hAnsi="Times New Roman" w:eastAsia="宋体"/>
          <w:b w:val="0"/>
          <w:sz w:val="24"/>
        </w:rPr>
        <w:t>− indicate the explosion/flammability limits, if tested, or indicate whether the</w:t>
      </w:r>
    </w:p>
    <w:p>
      <w:pPr>
        <w:spacing w:line="360" w:lineRule="auto"/>
        <w:ind w:firstLine="480"/>
      </w:pPr>
      <w:r>
        <w:rPr>
          <w:rFonts w:ascii="Times New Roman" w:hAnsi="Times New Roman" w:eastAsia="宋体"/>
          <w:b w:val="0"/>
          <w:sz w:val="24"/>
        </w:rPr>
        <w:t>classification and category assignment is based on the calculation as per ISO 10156</w:t>
      </w:r>
    </w:p>
    <w:p>
      <w:pPr>
        <w:spacing w:line="360" w:lineRule="auto"/>
        <w:ind w:firstLine="480"/>
      </w:pPr>
      <w:r>
        <w:rPr>
          <w:rFonts w:ascii="Times New Roman" w:hAnsi="Times New Roman" w:eastAsia="宋体"/>
          <w:b w:val="0"/>
          <w:sz w:val="24"/>
        </w:rPr>
        <w:t>− indicate the fundamental burning velocity if the gas mixture is classified as Category</w:t>
      </w:r>
    </w:p>
    <w:p>
      <w:pPr>
        <w:spacing w:line="360" w:lineRule="auto"/>
        <w:ind w:firstLine="480"/>
      </w:pPr>
      <w:r>
        <w:rPr>
          <w:rFonts w:ascii="Times New Roman" w:hAnsi="Times New Roman" w:eastAsia="宋体"/>
          <w:b w:val="0"/>
          <w:sz w:val="24"/>
        </w:rPr>
        <w:t>1B based on fundamental burning velocity, generally determined by ISO 817:2014,</w:t>
      </w:r>
    </w:p>
    <w:p>
      <w:pPr>
        <w:spacing w:line="360" w:lineRule="auto"/>
        <w:ind w:firstLine="480"/>
      </w:pPr>
      <w:r>
        <w:rPr>
          <w:rFonts w:ascii="Times New Roman" w:hAnsi="Times New Roman" w:eastAsia="宋体"/>
          <w:b w:val="0"/>
          <w:sz w:val="24"/>
        </w:rPr>
        <w:t>Annex C</w:t>
      </w:r>
    </w:p>
    <w:p>
      <w:pPr>
        <w:spacing w:line="360" w:lineRule="auto"/>
        <w:ind w:firstLine="480"/>
      </w:pPr>
      <w:r>
        <w:rPr>
          <w:rFonts w:ascii="Times New Roman" w:hAnsi="Times New Roman" w:eastAsia="宋体"/>
          <w:b w:val="0"/>
          <w:sz w:val="24"/>
        </w:rPr>
        <w:t>2.3,</w:t>
      </w:r>
    </w:p>
    <w:p>
      <w:pPr>
        <w:spacing w:line="360" w:lineRule="auto"/>
        <w:ind w:firstLine="480"/>
      </w:pPr>
      <w:r>
        <w:rPr>
          <w:rFonts w:ascii="Times New Roman" w:hAnsi="Times New Roman" w:eastAsia="宋体"/>
          <w:b w:val="0"/>
          <w:sz w:val="24"/>
        </w:rPr>
        <w:t>section</w:t>
      </w:r>
    </w:p>
    <w:p>
      <w:pPr>
        <w:spacing w:line="360" w:lineRule="auto"/>
        <w:ind w:firstLine="480"/>
      </w:pPr>
      <w:r>
        <w:rPr>
          <w:rFonts w:ascii="Times New Roman" w:hAnsi="Times New Roman" w:eastAsia="宋体"/>
          <w:b w:val="0"/>
          <w:sz w:val="24"/>
        </w:rPr>
        <w:t>2.3.1</w:t>
      </w:r>
    </w:p>
    <w:p>
      <w:pPr>
        <w:spacing w:line="360" w:lineRule="auto"/>
        <w:ind w:firstLine="480"/>
      </w:pPr>
      <w:r>
        <w:rPr>
          <w:rFonts w:ascii="Times New Roman" w:hAnsi="Times New Roman" w:eastAsia="宋体"/>
          <w:b w:val="0"/>
          <w:sz w:val="24"/>
        </w:rPr>
        <w:t>Aerosols</w:t>
      </w:r>
    </w:p>
    <w:p>
      <w:pPr>
        <w:spacing w:line="360" w:lineRule="auto"/>
        <w:ind w:firstLine="480"/>
      </w:pPr>
      <w:r>
        <w:rPr>
          <w:rFonts w:ascii="Times New Roman" w:hAnsi="Times New Roman" w:eastAsia="宋体"/>
          <w:b w:val="0"/>
          <w:sz w:val="24"/>
        </w:rPr>
        <w:t>− indicate the total percentage (by mass) of flammable components unless the Aerosol</w:t>
      </w:r>
    </w:p>
    <w:p>
      <w:pPr>
        <w:spacing w:line="360" w:lineRule="auto"/>
        <w:ind w:firstLine="480"/>
      </w:pPr>
      <w:r>
        <w:rPr>
          <w:rFonts w:ascii="Times New Roman" w:hAnsi="Times New Roman" w:eastAsia="宋体"/>
          <w:b w:val="0"/>
          <w:sz w:val="24"/>
        </w:rPr>
        <w:t>is classified as Aerosol cat. 1 because it contains more than 1 % flammable</w:t>
      </w:r>
    </w:p>
    <w:p>
      <w:pPr>
        <w:spacing w:line="360" w:lineRule="auto"/>
        <w:ind w:firstLine="480"/>
      </w:pPr>
      <w:r>
        <w:rPr>
          <w:rFonts w:ascii="Times New Roman" w:hAnsi="Times New Roman" w:eastAsia="宋体"/>
          <w:b w:val="0"/>
          <w:sz w:val="24"/>
        </w:rPr>
        <w:t>components or has a heat of combustion of at least 20 kJ/g and is not submitted to the</w:t>
      </w:r>
    </w:p>
    <w:p>
      <w:pPr>
        <w:spacing w:line="360" w:lineRule="auto"/>
        <w:ind w:firstLine="480"/>
      </w:pPr>
      <w:r>
        <w:rPr>
          <w:rFonts w:ascii="Times New Roman" w:hAnsi="Times New Roman" w:eastAsia="宋体"/>
          <w:b w:val="0"/>
          <w:sz w:val="24"/>
        </w:rPr>
        <w:t>flammability classification procedures (see note 2 in chapter 2.3, 2.3.1.2.1)</w:t>
      </w:r>
    </w:p>
    <w:p>
      <w:pPr>
        <w:spacing w:line="360" w:lineRule="auto"/>
        <w:ind w:firstLine="480"/>
      </w:pPr>
      <w:r>
        <w:rPr>
          <w:rFonts w:ascii="Times New Roman" w:hAnsi="Times New Roman" w:eastAsia="宋体"/>
          <w:b w:val="0"/>
          <w:sz w:val="24"/>
        </w:rPr>
        <w:t>2.3,</w:t>
      </w:r>
    </w:p>
    <w:p>
      <w:pPr>
        <w:spacing w:line="360" w:lineRule="auto"/>
        <w:ind w:firstLine="480"/>
      </w:pPr>
      <w:r>
        <w:rPr>
          <w:rFonts w:ascii="Times New Roman" w:hAnsi="Times New Roman" w:eastAsia="宋体"/>
          <w:b w:val="0"/>
          <w:sz w:val="24"/>
        </w:rPr>
        <w:t>section</w:t>
      </w:r>
    </w:p>
    <w:p>
      <w:pPr>
        <w:spacing w:line="360" w:lineRule="auto"/>
        <w:ind w:firstLine="480"/>
      </w:pPr>
      <w:r>
        <w:rPr>
          <w:rFonts w:ascii="Times New Roman" w:hAnsi="Times New Roman" w:eastAsia="宋体"/>
          <w:b w:val="0"/>
          <w:sz w:val="24"/>
        </w:rPr>
        <w:t>2.3.2</w:t>
      </w:r>
    </w:p>
    <w:p>
      <w:pPr>
        <w:spacing w:line="360" w:lineRule="auto"/>
        <w:ind w:firstLine="480"/>
      </w:pPr>
      <w:r>
        <w:rPr>
          <w:rFonts w:ascii="Times New Roman" w:hAnsi="Times New Roman" w:eastAsia="宋体"/>
          <w:b w:val="0"/>
          <w:sz w:val="24"/>
        </w:rPr>
        <w:t>Chemicals under</w:t>
      </w:r>
    </w:p>
    <w:p>
      <w:pPr>
        <w:spacing w:line="360" w:lineRule="auto"/>
        <w:ind w:firstLine="480"/>
      </w:pPr>
      <w:r>
        <w:rPr>
          <w:rFonts w:ascii="Times New Roman" w:hAnsi="Times New Roman" w:eastAsia="宋体"/>
          <w:b w:val="0"/>
          <w:sz w:val="24"/>
        </w:rPr>
        <w:t>pressure</w:t>
      </w:r>
    </w:p>
    <w:p>
      <w:pPr>
        <w:spacing w:line="360" w:lineRule="auto"/>
        <w:ind w:firstLine="480"/>
      </w:pPr>
      <w:r>
        <w:rPr>
          <w:rFonts w:ascii="Times New Roman" w:hAnsi="Times New Roman" w:eastAsia="宋体"/>
          <w:b w:val="0"/>
          <w:sz w:val="24"/>
        </w:rPr>
        <w:t>− indicate the total percentage (by mass) of flammable components</w:t>
      </w:r>
    </w:p>
    <w:p>
      <w:pPr>
        <w:spacing w:line="360" w:lineRule="auto"/>
        <w:ind w:firstLine="480"/>
      </w:pPr>
      <w:r>
        <w:rPr>
          <w:rFonts w:ascii="Times New Roman" w:hAnsi="Times New Roman" w:eastAsia="宋体"/>
          <w:b w:val="0"/>
          <w:sz w:val="24"/>
        </w:rPr>
        <w:t>− indicate the specific heat of combustion (generally in kJ/g)</w:t>
      </w:r>
    </w:p>
    <w:p>
      <w:pPr>
        <w:spacing w:line="360" w:lineRule="auto"/>
        <w:ind w:firstLine="480"/>
      </w:pPr>
      <w:r>
        <w:rPr>
          <w:rFonts w:ascii="Times New Roman" w:hAnsi="Times New Roman" w:eastAsia="宋体"/>
          <w:b w:val="0"/>
          <w:sz w:val="24"/>
        </w:rPr>
        <w:t>- 422 -</w:t>
      </w:r>
    </w:p>
    <w:p>
      <w:pPr>
        <w:spacing w:line="360" w:lineRule="auto"/>
        <w:ind w:firstLine="480"/>
      </w:pPr>
      <w:r>
        <w:rPr>
          <w:rFonts w:ascii="Times New Roman" w:hAnsi="Times New Roman" w:eastAsia="宋体"/>
          <w:b w:val="0"/>
          <w:sz w:val="24"/>
        </w:rPr>
        <w:t>Table A4.3.9.2: Data relevant with regard to physical hazard classes (supplemental) (cont’d)</w:t>
      </w:r>
    </w:p>
    <w:p>
      <w:pPr>
        <w:spacing w:line="360" w:lineRule="auto"/>
        <w:ind w:firstLine="480"/>
      </w:pPr>
      <w:r>
        <w:rPr>
          <w:rFonts w:ascii="Times New Roman" w:hAnsi="Times New Roman" w:eastAsia="宋体"/>
          <w:b w:val="0"/>
          <w:sz w:val="24"/>
        </w:rPr>
        <w:t>Chapter</w:t>
      </w:r>
    </w:p>
    <w:p>
      <w:pPr>
        <w:spacing w:line="360" w:lineRule="auto"/>
        <w:ind w:firstLine="480"/>
      </w:pPr>
      <w:r>
        <w:rPr>
          <w:rFonts w:ascii="Times New Roman" w:hAnsi="Times New Roman" w:eastAsia="宋体"/>
          <w:b w:val="0"/>
          <w:sz w:val="24"/>
        </w:rPr>
        <w:t>Hazard class</w:t>
      </w:r>
    </w:p>
    <w:p>
      <w:pPr>
        <w:spacing w:line="360" w:lineRule="auto"/>
        <w:ind w:firstLine="480"/>
      </w:pPr>
      <w:r>
        <w:rPr>
          <w:rFonts w:ascii="Times New Roman" w:hAnsi="Times New Roman" w:eastAsia="宋体"/>
          <w:b w:val="0"/>
          <w:sz w:val="24"/>
        </w:rPr>
        <w:t>Property/Safety characteristic/Test result and</w:t>
      </w:r>
    </w:p>
    <w:p>
      <w:pPr>
        <w:spacing w:line="360" w:lineRule="auto"/>
        <w:ind w:firstLine="480"/>
      </w:pPr>
      <w:r>
        <w:rPr>
          <w:rFonts w:ascii="Times New Roman" w:hAnsi="Times New Roman" w:eastAsia="宋体"/>
          <w:b w:val="0"/>
          <w:sz w:val="24"/>
        </w:rPr>
        <w:t>Remarks/Guidance</w:t>
      </w:r>
    </w:p>
    <w:p>
      <w:pPr>
        <w:spacing w:line="360" w:lineRule="auto"/>
        <w:ind w:firstLine="480"/>
      </w:pPr>
      <w:r>
        <w:rPr>
          <w:rFonts w:ascii="Times New Roman" w:hAnsi="Times New Roman" w:eastAsia="宋体"/>
          <w:b w:val="0"/>
          <w:sz w:val="24"/>
        </w:rPr>
        <w:t>2.4</w:t>
      </w:r>
    </w:p>
    <w:p>
      <w:pPr>
        <w:spacing w:line="360" w:lineRule="auto"/>
        <w:ind w:firstLine="480"/>
      </w:pPr>
      <w:r>
        <w:rPr>
          <w:rFonts w:ascii="Times New Roman" w:hAnsi="Times New Roman" w:eastAsia="宋体"/>
          <w:b w:val="0"/>
          <w:sz w:val="24"/>
        </w:rPr>
        <w:t>Oxidizing gases</w:t>
      </w:r>
    </w:p>
    <w:p>
      <w:pPr>
        <w:spacing w:line="360" w:lineRule="auto"/>
        <w:ind w:firstLine="480"/>
      </w:pPr>
      <w:r>
        <w:rPr>
          <w:rFonts w:ascii="Times New Roman" w:hAnsi="Times New Roman" w:eastAsia="宋体"/>
          <w:b w:val="0"/>
          <w:sz w:val="24"/>
        </w:rPr>
        <w:t>for pure oxidizing gases:</w:t>
      </w:r>
    </w:p>
    <w:p>
      <w:pPr>
        <w:spacing w:line="360" w:lineRule="auto"/>
        <w:ind w:firstLine="480"/>
      </w:pPr>
      <w:r>
        <w:rPr>
          <w:rFonts w:ascii="Times New Roman" w:hAnsi="Times New Roman" w:eastAsia="宋体"/>
          <w:b w:val="0"/>
          <w:sz w:val="24"/>
        </w:rPr>
        <w:t>− indicate the Ci (coefficient of oxygen equivalency) as per ISO 10156</w:t>
      </w:r>
    </w:p>
    <w:p>
      <w:pPr>
        <w:spacing w:line="360" w:lineRule="auto"/>
        <w:ind w:firstLine="480"/>
      </w:pPr>
      <w:r>
        <w:rPr>
          <w:rFonts w:ascii="Times New Roman" w:hAnsi="Times New Roman" w:eastAsia="宋体"/>
          <w:b w:val="0"/>
          <w:sz w:val="24"/>
        </w:rPr>
        <w:t>for oxidizing gas mixtures:</w:t>
      </w:r>
    </w:p>
    <w:p>
      <w:pPr>
        <w:spacing w:line="360" w:lineRule="auto"/>
        <w:ind w:firstLine="480"/>
      </w:pPr>
      <w:r>
        <w:rPr>
          <w:rFonts w:ascii="Times New Roman" w:hAnsi="Times New Roman" w:eastAsia="宋体"/>
          <w:b w:val="0"/>
          <w:sz w:val="24"/>
        </w:rPr>
        <w:t>− indicate “Oxidizing gas Category 1 (tested as per ISO 10156)” for tested mixtures or</w:t>
      </w:r>
    </w:p>
    <w:p>
      <w:pPr>
        <w:spacing w:line="360" w:lineRule="auto"/>
        <w:ind w:firstLine="480"/>
      </w:pPr>
      <w:r>
        <w:rPr>
          <w:rFonts w:ascii="Times New Roman" w:hAnsi="Times New Roman" w:eastAsia="宋体"/>
          <w:b w:val="0"/>
          <w:sz w:val="24"/>
        </w:rPr>
        <w:t>indicate the calculated oxidizing power (OP) as per ISO 10156</w:t>
      </w:r>
    </w:p>
    <w:p>
      <w:pPr>
        <w:spacing w:line="360" w:lineRule="auto"/>
        <w:ind w:firstLine="480"/>
      </w:pPr>
      <w:r>
        <w:rPr>
          <w:rFonts w:ascii="Times New Roman" w:hAnsi="Times New Roman" w:eastAsia="宋体"/>
          <w:b w:val="0"/>
          <w:sz w:val="24"/>
        </w:rPr>
        <w:t>2.5</w:t>
      </w:r>
    </w:p>
    <w:p>
      <w:pPr>
        <w:spacing w:line="360" w:lineRule="auto"/>
        <w:ind w:firstLine="480"/>
      </w:pPr>
      <w:r>
        <w:rPr>
          <w:rFonts w:ascii="Times New Roman" w:hAnsi="Times New Roman" w:eastAsia="宋体"/>
          <w:b w:val="0"/>
          <w:sz w:val="24"/>
        </w:rPr>
        <w:t>Gases under</w:t>
      </w:r>
    </w:p>
    <w:p>
      <w:pPr>
        <w:spacing w:line="360" w:lineRule="auto"/>
        <w:ind w:firstLine="480"/>
      </w:pPr>
      <w:r>
        <w:rPr>
          <w:rFonts w:ascii="Times New Roman" w:hAnsi="Times New Roman" w:eastAsia="宋体"/>
          <w:b w:val="0"/>
          <w:sz w:val="24"/>
        </w:rPr>
        <w:t>pressure</w:t>
      </w:r>
    </w:p>
    <w:p>
      <w:pPr>
        <w:spacing w:line="360" w:lineRule="auto"/>
        <w:ind w:firstLine="480"/>
      </w:pPr>
      <w:r>
        <w:rPr>
          <w:rFonts w:ascii="Times New Roman" w:hAnsi="Times New Roman" w:eastAsia="宋体"/>
          <w:b w:val="0"/>
          <w:sz w:val="24"/>
        </w:rPr>
        <w:t>for pure gases:</w:t>
      </w:r>
    </w:p>
    <w:p>
      <w:pPr>
        <w:spacing w:line="360" w:lineRule="auto"/>
        <w:ind w:firstLine="480"/>
      </w:pPr>
      <w:r>
        <w:rPr>
          <w:rFonts w:ascii="Times New Roman" w:hAnsi="Times New Roman" w:eastAsia="宋体"/>
          <w:b w:val="0"/>
          <w:sz w:val="24"/>
        </w:rPr>
        <w:t>− indicate the critical temperature</w:t>
      </w:r>
    </w:p>
    <w:p>
      <w:pPr>
        <w:spacing w:line="360" w:lineRule="auto"/>
        <w:ind w:firstLine="480"/>
      </w:pPr>
      <w:r>
        <w:rPr>
          <w:rFonts w:ascii="Times New Roman" w:hAnsi="Times New Roman" w:eastAsia="宋体"/>
          <w:b w:val="0"/>
          <w:sz w:val="24"/>
        </w:rPr>
        <w:t>for gas mixtures:</w:t>
      </w:r>
    </w:p>
    <w:p>
      <w:pPr>
        <w:spacing w:line="360" w:lineRule="auto"/>
        <w:ind w:firstLine="480"/>
      </w:pPr>
      <w:r>
        <w:rPr>
          <w:rFonts w:ascii="Times New Roman" w:hAnsi="Times New Roman" w:eastAsia="宋体"/>
          <w:b w:val="0"/>
          <w:sz w:val="24"/>
        </w:rPr>
        <w:t>− indicate the pseudo-critical temperature; it is estimated as the mole weighted average</w:t>
      </w:r>
    </w:p>
    <w:p>
      <w:pPr>
        <w:spacing w:line="360" w:lineRule="auto"/>
        <w:ind w:firstLine="480"/>
      </w:pPr>
      <w:r>
        <w:rPr>
          <w:rFonts w:ascii="Times New Roman" w:hAnsi="Times New Roman" w:eastAsia="宋体"/>
          <w:b w:val="0"/>
          <w:sz w:val="24"/>
        </w:rPr>
        <w:t>of the critical temperatures of the components as follows:</w:t>
      </w:r>
    </w:p>
    <w:p>
      <w:pPr>
        <w:spacing w:line="360" w:lineRule="auto"/>
        <w:ind w:firstLine="480"/>
      </w:pPr>
      <w:r>
        <w:rPr>
          <w:rFonts w:ascii="Times New Roman" w:hAnsi="Times New Roman" w:eastAsia="宋体"/>
          <w:b w:val="0"/>
          <w:sz w:val="24"/>
        </w:rPr>
        <w:t>=</w:t>
      </w:r>
    </w:p>
    <w:p>
      <w:pPr>
        <w:spacing w:line="360" w:lineRule="auto"/>
        <w:ind w:firstLine="480"/>
      </w:pPr>
      <w:r>
        <w:rPr>
          <w:rFonts w:ascii="Times New Roman" w:hAnsi="Times New Roman" w:eastAsia="宋体"/>
          <w:b w:val="0"/>
          <w:sz w:val="24"/>
        </w:rPr>
        <w:t></w:t>
      </w:r>
    </w:p>
    <w:p>
      <w:pPr>
        <w:spacing w:line="360" w:lineRule="auto"/>
        <w:ind w:firstLine="480"/>
      </w:pPr>
      <w:r>
        <w:rPr>
          <w:rFonts w:ascii="Times New Roman" w:hAnsi="Times New Roman" w:eastAsia="宋体"/>
          <w:b w:val="0"/>
          <w:sz w:val="24"/>
        </w:rPr>
        <w:t>n</w:t>
      </w:r>
    </w:p>
    <w:p>
      <w:pPr>
        <w:spacing w:line="360" w:lineRule="auto"/>
        <w:ind w:firstLine="480"/>
      </w:pPr>
      <w:r>
        <w:rPr>
          <w:rFonts w:ascii="Times New Roman" w:hAnsi="Times New Roman" w:eastAsia="宋体"/>
          <w:b w:val="0"/>
          <w:sz w:val="24"/>
        </w:rPr>
        <w:t>1</w:t>
      </w:r>
    </w:p>
    <w:p>
      <w:pPr>
        <w:spacing w:line="360" w:lineRule="auto"/>
        <w:ind w:firstLine="480"/>
      </w:pPr>
      <w:r>
        <w:rPr>
          <w:rFonts w:ascii="Times New Roman" w:hAnsi="Times New Roman" w:eastAsia="宋体"/>
          <w:b w:val="0"/>
          <w:sz w:val="24"/>
        </w:rPr>
        <w:t>i</w:t>
      </w:r>
    </w:p>
    <w:p>
      <w:pPr>
        <w:spacing w:line="360" w:lineRule="auto"/>
        <w:ind w:firstLine="480"/>
      </w:pPr>
      <w:r>
        <w:rPr>
          <w:rFonts w:ascii="Times New Roman" w:hAnsi="Times New Roman" w:eastAsia="宋体"/>
          <w:b w:val="0"/>
          <w:sz w:val="24"/>
        </w:rPr>
        <w:t>i</w:t>
      </w:r>
    </w:p>
    <w:p>
      <w:pPr>
        <w:spacing w:line="360" w:lineRule="auto"/>
        <w:ind w:firstLine="480"/>
      </w:pPr>
      <w:r>
        <w:rPr>
          <w:rFonts w:ascii="Times New Roman" w:hAnsi="Times New Roman" w:eastAsia="宋体"/>
          <w:b w:val="0"/>
          <w:sz w:val="24"/>
        </w:rPr>
        <w:t>Crit</w:t>
      </w:r>
    </w:p>
    <w:p>
      <w:pPr>
        <w:spacing w:line="360" w:lineRule="auto"/>
        <w:ind w:firstLine="480"/>
      </w:pPr>
      <w:r>
        <w:rPr>
          <w:rFonts w:ascii="Times New Roman" w:hAnsi="Times New Roman" w:eastAsia="宋体"/>
          <w:b w:val="0"/>
          <w:sz w:val="24"/>
        </w:rPr>
        <w:t>i T</w:t>
      </w:r>
    </w:p>
    <w:p>
      <w:pPr>
        <w:spacing w:line="360" w:lineRule="auto"/>
        <w:ind w:firstLine="480"/>
      </w:pPr>
      <w:r>
        <w:rPr>
          <w:rFonts w:ascii="Times New Roman" w:hAnsi="Times New Roman" w:eastAsia="宋体"/>
          <w:b w:val="0"/>
          <w:sz w:val="24"/>
        </w:rPr>
        <w:t>x</w:t>
      </w:r>
    </w:p>
    <w:p>
      <w:pPr>
        <w:spacing w:line="360" w:lineRule="auto"/>
        <w:ind w:firstLine="480"/>
      </w:pPr>
      <w:r>
        <w:rPr>
          <w:rFonts w:ascii="Times New Roman" w:hAnsi="Times New Roman" w:eastAsia="宋体"/>
          <w:b w:val="0"/>
          <w:sz w:val="24"/>
        </w:rPr>
        <w:t>where</w:t>
      </w:r>
    </w:p>
    <w:p>
      <w:pPr>
        <w:spacing w:line="360" w:lineRule="auto"/>
        <w:ind w:firstLine="480"/>
      </w:pPr>
      <w:r>
        <w:rPr>
          <w:rFonts w:ascii="Times New Roman" w:hAnsi="Times New Roman" w:eastAsia="宋体"/>
          <w:b w:val="0"/>
          <w:sz w:val="24"/>
        </w:rPr>
        <w:t>• xi is molar fraction of component i</w:t>
      </w:r>
    </w:p>
    <w:p>
      <w:pPr>
        <w:spacing w:line="360" w:lineRule="auto"/>
        <w:ind w:firstLine="480"/>
      </w:pPr>
      <w:r>
        <w:rPr>
          <w:rFonts w:ascii="Times New Roman" w:hAnsi="Times New Roman" w:eastAsia="宋体"/>
          <w:b w:val="0"/>
          <w:sz w:val="24"/>
        </w:rPr>
        <w:t>• TCrit i is the critical temperature of component i</w:t>
      </w:r>
    </w:p>
    <w:p>
      <w:pPr>
        <w:spacing w:line="360" w:lineRule="auto"/>
        <w:ind w:firstLine="480"/>
      </w:pPr>
      <w:r>
        <w:rPr>
          <w:rFonts w:ascii="Times New Roman" w:hAnsi="Times New Roman" w:eastAsia="宋体"/>
          <w:b w:val="0"/>
          <w:sz w:val="24"/>
        </w:rPr>
        <w:t>2.6</w:t>
      </w:r>
    </w:p>
    <w:p>
      <w:pPr>
        <w:spacing w:line="360" w:lineRule="auto"/>
        <w:ind w:firstLine="480"/>
      </w:pPr>
      <w:r>
        <w:rPr>
          <w:rFonts w:ascii="Times New Roman" w:hAnsi="Times New Roman" w:eastAsia="宋体"/>
          <w:b w:val="0"/>
          <w:sz w:val="24"/>
        </w:rPr>
        <w:t>Flammable</w:t>
      </w:r>
    </w:p>
    <w:p>
      <w:pPr>
        <w:spacing w:line="360" w:lineRule="auto"/>
        <w:ind w:firstLine="480"/>
      </w:pPr>
      <w:r>
        <w:rPr>
          <w:rFonts w:ascii="Times New Roman" w:hAnsi="Times New Roman" w:eastAsia="宋体"/>
          <w:b w:val="0"/>
          <w:sz w:val="24"/>
        </w:rPr>
        <w:t>liquids</w:t>
      </w:r>
    </w:p>
    <w:p>
      <w:pPr>
        <w:spacing w:line="360" w:lineRule="auto"/>
        <w:ind w:firstLine="480"/>
      </w:pPr>
      <w:r>
        <w:rPr>
          <w:rFonts w:ascii="Times New Roman" w:hAnsi="Times New Roman" w:eastAsia="宋体"/>
          <w:b w:val="0"/>
          <w:sz w:val="24"/>
        </w:rPr>
        <w:t>− no additional data is needed because the boiling point and the flash point are</w:t>
      </w:r>
    </w:p>
    <w:p>
      <w:pPr>
        <w:spacing w:line="360" w:lineRule="auto"/>
        <w:ind w:firstLine="480"/>
      </w:pPr>
      <w:r>
        <w:rPr>
          <w:rFonts w:ascii="Times New Roman" w:hAnsi="Times New Roman" w:eastAsia="宋体"/>
          <w:b w:val="0"/>
          <w:sz w:val="24"/>
        </w:rPr>
        <w:t>indicated based on table A4.3.9.1</w:t>
      </w:r>
    </w:p>
    <w:p>
      <w:pPr>
        <w:spacing w:line="360" w:lineRule="auto"/>
        <w:ind w:firstLine="480"/>
      </w:pPr>
      <w:r>
        <w:rPr>
          <w:rFonts w:ascii="Times New Roman" w:hAnsi="Times New Roman" w:eastAsia="宋体"/>
          <w:b w:val="0"/>
          <w:sz w:val="24"/>
        </w:rPr>
        <w:t>− indicate information on sustained combustibility if exemption based on Test L.2</w:t>
      </w:r>
    </w:p>
    <w:p>
      <w:pPr>
        <w:spacing w:line="360" w:lineRule="auto"/>
        <w:ind w:firstLine="480"/>
      </w:pPr>
      <w:r>
        <w:rPr>
          <w:rFonts w:ascii="Times New Roman" w:hAnsi="Times New Roman" w:eastAsia="宋体"/>
          <w:b w:val="0"/>
          <w:sz w:val="24"/>
        </w:rPr>
        <w:t>(section 32.5.2 of the Manual of Tests and Criteria), in accordance with note 2 in</w:t>
      </w:r>
    </w:p>
    <w:p>
      <w:pPr>
        <w:spacing w:line="360" w:lineRule="auto"/>
        <w:ind w:firstLine="480"/>
      </w:pPr>
      <w:r>
        <w:rPr>
          <w:rFonts w:ascii="Times New Roman" w:hAnsi="Times New Roman" w:eastAsia="宋体"/>
          <w:b w:val="0"/>
          <w:sz w:val="24"/>
        </w:rPr>
        <w:t>chapter 2.6, section 2.6.2, is considered</w:t>
      </w:r>
    </w:p>
    <w:p>
      <w:pPr>
        <w:spacing w:line="360" w:lineRule="auto"/>
        <w:ind w:firstLine="480"/>
      </w:pPr>
      <w:r>
        <w:rPr>
          <w:rFonts w:ascii="Times New Roman" w:hAnsi="Times New Roman" w:eastAsia="宋体"/>
          <w:b w:val="0"/>
          <w:sz w:val="24"/>
        </w:rPr>
        <w:t>2.7</w:t>
      </w:r>
    </w:p>
    <w:p>
      <w:pPr>
        <w:spacing w:line="360" w:lineRule="auto"/>
        <w:ind w:firstLine="480"/>
      </w:pPr>
      <w:r>
        <w:rPr>
          <w:rFonts w:ascii="Times New Roman" w:hAnsi="Times New Roman" w:eastAsia="宋体"/>
          <w:b w:val="0"/>
          <w:sz w:val="24"/>
        </w:rPr>
        <w:t>Flammable</w:t>
      </w:r>
    </w:p>
    <w:p>
      <w:pPr>
        <w:spacing w:line="360" w:lineRule="auto"/>
        <w:ind w:firstLine="480"/>
      </w:pPr>
      <w:r>
        <w:rPr>
          <w:rFonts w:ascii="Times New Roman" w:hAnsi="Times New Roman" w:eastAsia="宋体"/>
          <w:b w:val="0"/>
          <w:sz w:val="24"/>
        </w:rPr>
        <w:t>solids</w:t>
      </w:r>
    </w:p>
    <w:p>
      <w:pPr>
        <w:spacing w:line="360" w:lineRule="auto"/>
        <w:ind w:firstLine="480"/>
      </w:pPr>
      <w:r>
        <w:rPr>
          <w:rFonts w:ascii="Times New Roman" w:hAnsi="Times New Roman" w:eastAsia="宋体"/>
          <w:b w:val="0"/>
          <w:sz w:val="24"/>
        </w:rPr>
        <w:t>− indicate the burning rate (or burning time for metal powders), generally determined</w:t>
      </w:r>
    </w:p>
    <w:p>
      <w:pPr>
        <w:spacing w:line="360" w:lineRule="auto"/>
        <w:ind w:firstLine="480"/>
      </w:pPr>
      <w:r>
        <w:rPr>
          <w:rFonts w:ascii="Times New Roman" w:hAnsi="Times New Roman" w:eastAsia="宋体"/>
          <w:b w:val="0"/>
          <w:sz w:val="24"/>
        </w:rPr>
        <w:t>by Test N.1 (section 33.2.1 of the Manual of Tests and Criteria)</w:t>
      </w:r>
    </w:p>
    <w:p>
      <w:pPr>
        <w:spacing w:line="360" w:lineRule="auto"/>
        <w:ind w:firstLine="480"/>
      </w:pPr>
      <w:r>
        <w:rPr>
          <w:rFonts w:ascii="Times New Roman" w:hAnsi="Times New Roman" w:eastAsia="宋体"/>
          <w:b w:val="0"/>
          <w:sz w:val="24"/>
        </w:rPr>
        <w:t>− indicate whether the wetted zone has been passed or not</w:t>
      </w:r>
    </w:p>
    <w:p>
      <w:pPr>
        <w:spacing w:line="360" w:lineRule="auto"/>
        <w:ind w:firstLine="480"/>
      </w:pPr>
      <w:r>
        <w:rPr>
          <w:rFonts w:ascii="Times New Roman" w:hAnsi="Times New Roman" w:eastAsia="宋体"/>
          <w:b w:val="0"/>
          <w:sz w:val="24"/>
        </w:rPr>
        <w:t>2.8</w:t>
      </w:r>
    </w:p>
    <w:p>
      <w:pPr>
        <w:spacing w:line="360" w:lineRule="auto"/>
        <w:ind w:firstLine="480"/>
      </w:pPr>
      <w:r>
        <w:rPr>
          <w:rFonts w:ascii="Times New Roman" w:hAnsi="Times New Roman" w:eastAsia="宋体"/>
          <w:b w:val="0"/>
          <w:sz w:val="24"/>
        </w:rPr>
        <w:t>Self-reactive</w:t>
      </w:r>
    </w:p>
    <w:p>
      <w:pPr>
        <w:spacing w:line="360" w:lineRule="auto"/>
        <w:ind w:firstLine="480"/>
      </w:pPr>
      <w:r>
        <w:rPr>
          <w:rFonts w:ascii="Times New Roman" w:hAnsi="Times New Roman" w:eastAsia="宋体"/>
          <w:b w:val="0"/>
          <w:sz w:val="24"/>
        </w:rPr>
        <w:t>substances and</w:t>
      </w:r>
    </w:p>
    <w:p>
      <w:pPr>
        <w:spacing w:line="360" w:lineRule="auto"/>
        <w:ind w:firstLine="480"/>
      </w:pPr>
      <w:r>
        <w:rPr>
          <w:rFonts w:ascii="Times New Roman" w:hAnsi="Times New Roman" w:eastAsia="宋体"/>
          <w:b w:val="0"/>
          <w:sz w:val="24"/>
        </w:rPr>
        <w:t>mixtures</w:t>
      </w:r>
    </w:p>
    <w:p>
      <w:pPr>
        <w:spacing w:line="360" w:lineRule="auto"/>
        <w:ind w:firstLine="480"/>
      </w:pPr>
      <w:r>
        <w:rPr>
          <w:rFonts w:ascii="Times New Roman" w:hAnsi="Times New Roman" w:eastAsia="宋体"/>
          <w:b w:val="0"/>
          <w:sz w:val="24"/>
        </w:rPr>
        <w:t>− for the SADT (self-accelerating decomposition temperature), see the entry for the</w:t>
      </w:r>
    </w:p>
    <w:p>
      <w:pPr>
        <w:spacing w:line="360" w:lineRule="auto"/>
        <w:ind w:firstLine="480"/>
      </w:pPr>
      <w:r>
        <w:rPr>
          <w:rFonts w:ascii="Times New Roman" w:hAnsi="Times New Roman" w:eastAsia="宋体"/>
          <w:b w:val="0"/>
          <w:sz w:val="24"/>
        </w:rPr>
        <w:t>decomposition temperature in table A4.3.9.1</w:t>
      </w:r>
    </w:p>
    <w:p>
      <w:pPr>
        <w:spacing w:line="360" w:lineRule="auto"/>
        <w:ind w:firstLine="480"/>
      </w:pPr>
      <w:r>
        <w:rPr>
          <w:rFonts w:ascii="Times New Roman" w:hAnsi="Times New Roman" w:eastAsia="宋体"/>
          <w:b w:val="0"/>
          <w:sz w:val="24"/>
        </w:rPr>
        <w:t>− indicate the decomposition energy (value and method of determination)</w:t>
      </w:r>
    </w:p>
    <w:p>
      <w:pPr>
        <w:spacing w:line="360" w:lineRule="auto"/>
        <w:ind w:firstLine="480"/>
      </w:pPr>
      <w:r>
        <w:rPr>
          <w:rFonts w:ascii="Times New Roman" w:hAnsi="Times New Roman" w:eastAsia="宋体"/>
          <w:b w:val="0"/>
          <w:sz w:val="24"/>
        </w:rPr>
        <w:t>− indicate detonation properties (Yes/Partial/No), also in packaging where relevant</w:t>
      </w:r>
    </w:p>
    <w:p>
      <w:pPr>
        <w:spacing w:line="360" w:lineRule="auto"/>
        <w:ind w:firstLine="480"/>
      </w:pPr>
      <w:r>
        <w:rPr>
          <w:rFonts w:ascii="Times New Roman" w:hAnsi="Times New Roman" w:eastAsia="宋体"/>
          <w:b w:val="0"/>
          <w:sz w:val="24"/>
        </w:rPr>
        <w:t>− indicate deflagration properties (Yes rapidly/Yes slowly/No), also in packaging</w:t>
      </w:r>
    </w:p>
    <w:p>
      <w:pPr>
        <w:spacing w:line="360" w:lineRule="auto"/>
        <w:ind w:firstLine="480"/>
      </w:pPr>
      <w:r>
        <w:rPr>
          <w:rFonts w:ascii="Times New Roman" w:hAnsi="Times New Roman" w:eastAsia="宋体"/>
          <w:b w:val="0"/>
          <w:sz w:val="24"/>
        </w:rPr>
        <w:t>where relevant</w:t>
      </w:r>
    </w:p>
    <w:p>
      <w:pPr>
        <w:spacing w:line="360" w:lineRule="auto"/>
        <w:ind w:firstLine="480"/>
      </w:pPr>
      <w:r>
        <w:rPr>
          <w:rFonts w:ascii="Times New Roman" w:hAnsi="Times New Roman" w:eastAsia="宋体"/>
          <w:b w:val="0"/>
          <w:sz w:val="24"/>
        </w:rPr>
        <w:t>− indicate the effect of heating under confinement (Violent/Medium/Low/No), also in</w:t>
      </w:r>
    </w:p>
    <w:p>
      <w:pPr>
        <w:spacing w:line="360" w:lineRule="auto"/>
        <w:ind w:firstLine="480"/>
      </w:pPr>
      <w:r>
        <w:rPr>
          <w:rFonts w:ascii="Times New Roman" w:hAnsi="Times New Roman" w:eastAsia="宋体"/>
          <w:b w:val="0"/>
          <w:sz w:val="24"/>
        </w:rPr>
        <w:t>packaging where relevant</w:t>
      </w:r>
    </w:p>
    <w:p>
      <w:pPr>
        <w:spacing w:line="360" w:lineRule="auto"/>
        <w:ind w:firstLine="480"/>
      </w:pPr>
      <w:r>
        <w:rPr>
          <w:rFonts w:ascii="Times New Roman" w:hAnsi="Times New Roman" w:eastAsia="宋体"/>
          <w:b w:val="0"/>
          <w:sz w:val="24"/>
        </w:rPr>
        <w:t>− indicate the explosive power if applicable (Not low/Low/None)</w:t>
      </w:r>
    </w:p>
    <w:p>
      <w:pPr>
        <w:spacing w:line="360" w:lineRule="auto"/>
        <w:ind w:firstLine="480"/>
      </w:pPr>
      <w:r>
        <w:rPr>
          <w:rFonts w:ascii="Times New Roman" w:hAnsi="Times New Roman" w:eastAsia="宋体"/>
          <w:b w:val="0"/>
          <w:sz w:val="24"/>
        </w:rPr>
        <w:t>2.9</w:t>
      </w:r>
    </w:p>
    <w:p>
      <w:pPr>
        <w:spacing w:line="360" w:lineRule="auto"/>
        <w:ind w:firstLine="480"/>
      </w:pPr>
      <w:r>
        <w:rPr>
          <w:rFonts w:ascii="Times New Roman" w:hAnsi="Times New Roman" w:eastAsia="宋体"/>
          <w:b w:val="0"/>
          <w:sz w:val="24"/>
        </w:rPr>
        <w:t>Pyrophoric</w:t>
      </w:r>
    </w:p>
    <w:p>
      <w:pPr>
        <w:spacing w:line="360" w:lineRule="auto"/>
        <w:ind w:firstLine="480"/>
      </w:pPr>
      <w:r>
        <w:rPr>
          <w:rFonts w:ascii="Times New Roman" w:hAnsi="Times New Roman" w:eastAsia="宋体"/>
          <w:b w:val="0"/>
          <w:sz w:val="24"/>
        </w:rPr>
        <w:t>liquids</w:t>
      </w:r>
    </w:p>
    <w:p>
      <w:pPr>
        <w:spacing w:line="360" w:lineRule="auto"/>
        <w:ind w:firstLine="480"/>
      </w:pPr>
      <w:r>
        <w:rPr>
          <w:rFonts w:ascii="Times New Roman" w:hAnsi="Times New Roman" w:eastAsia="宋体"/>
          <w:b w:val="0"/>
          <w:sz w:val="24"/>
        </w:rPr>
        <w:t>− indicate whether spontaneous ignition or charring of the filter paper occurs,</w:t>
      </w:r>
    </w:p>
    <w:p>
      <w:pPr>
        <w:spacing w:line="360" w:lineRule="auto"/>
        <w:ind w:firstLine="480"/>
      </w:pPr>
      <w:r>
        <w:rPr>
          <w:rFonts w:ascii="Times New Roman" w:hAnsi="Times New Roman" w:eastAsia="宋体"/>
          <w:b w:val="0"/>
          <w:sz w:val="24"/>
        </w:rPr>
        <w:t>generally determined by Test N.3 (section 33.3.1.5 of the Manual of Tests and</w:t>
      </w:r>
    </w:p>
    <w:p>
      <w:pPr>
        <w:spacing w:line="360" w:lineRule="auto"/>
        <w:ind w:firstLine="480"/>
      </w:pPr>
      <w:r>
        <w:rPr>
          <w:rFonts w:ascii="Times New Roman" w:hAnsi="Times New Roman" w:eastAsia="宋体"/>
          <w:b w:val="0"/>
          <w:sz w:val="24"/>
        </w:rPr>
        <w:t>Criteria) (indicate e.g. “the liquid ignites spontaneously in air” or “a filter paper</w:t>
      </w:r>
    </w:p>
    <w:p>
      <w:pPr>
        <w:spacing w:line="360" w:lineRule="auto"/>
        <w:ind w:firstLine="480"/>
      </w:pPr>
      <w:r>
        <w:rPr>
          <w:rFonts w:ascii="Times New Roman" w:hAnsi="Times New Roman" w:eastAsia="宋体"/>
          <w:b w:val="0"/>
          <w:sz w:val="24"/>
        </w:rPr>
        <w:t>with the liquid chars in air”)</w:t>
      </w:r>
    </w:p>
    <w:p>
      <w:pPr>
        <w:spacing w:line="360" w:lineRule="auto"/>
        <w:ind w:firstLine="480"/>
      </w:pPr>
      <w:r>
        <w:rPr>
          <w:rFonts w:ascii="Times New Roman" w:hAnsi="Times New Roman" w:eastAsia="宋体"/>
          <w:b w:val="0"/>
          <w:sz w:val="24"/>
        </w:rPr>
        <w:t>2.10</w:t>
      </w:r>
    </w:p>
    <w:p>
      <w:pPr>
        <w:spacing w:line="360" w:lineRule="auto"/>
        <w:ind w:firstLine="480"/>
      </w:pPr>
      <w:r>
        <w:rPr>
          <w:rFonts w:ascii="Times New Roman" w:hAnsi="Times New Roman" w:eastAsia="宋体"/>
          <w:b w:val="0"/>
          <w:sz w:val="24"/>
        </w:rPr>
        <w:t>Pyrophoric</w:t>
      </w:r>
    </w:p>
    <w:p>
      <w:pPr>
        <w:spacing w:line="360" w:lineRule="auto"/>
        <w:ind w:firstLine="480"/>
      </w:pPr>
      <w:r>
        <w:rPr>
          <w:rFonts w:ascii="Times New Roman" w:hAnsi="Times New Roman" w:eastAsia="宋体"/>
          <w:b w:val="0"/>
          <w:sz w:val="24"/>
        </w:rPr>
        <w:t>solids</w:t>
      </w:r>
    </w:p>
    <w:p>
      <w:pPr>
        <w:spacing w:line="360" w:lineRule="auto"/>
        <w:ind w:firstLine="480"/>
      </w:pPr>
      <w:r>
        <w:rPr>
          <w:rFonts w:ascii="Times New Roman" w:hAnsi="Times New Roman" w:eastAsia="宋体"/>
          <w:b w:val="0"/>
          <w:sz w:val="24"/>
        </w:rPr>
        <w:t>− indicate whether spontaneous ignition occurs when poured or within five minutes</w:t>
      </w:r>
    </w:p>
    <w:p>
      <w:pPr>
        <w:spacing w:line="360" w:lineRule="auto"/>
        <w:ind w:firstLine="480"/>
      </w:pPr>
      <w:r>
        <w:rPr>
          <w:rFonts w:ascii="Times New Roman" w:hAnsi="Times New Roman" w:eastAsia="宋体"/>
          <w:b w:val="0"/>
          <w:sz w:val="24"/>
        </w:rPr>
        <w:t>thereafter, generally determined by Test N.2 (section 33.3.1.4 of the Manual of Tests</w:t>
      </w:r>
    </w:p>
    <w:p>
      <w:pPr>
        <w:spacing w:line="360" w:lineRule="auto"/>
        <w:ind w:firstLine="480"/>
      </w:pPr>
      <w:r>
        <w:rPr>
          <w:rFonts w:ascii="Times New Roman" w:hAnsi="Times New Roman" w:eastAsia="宋体"/>
          <w:b w:val="0"/>
          <w:sz w:val="24"/>
        </w:rPr>
        <w:t>and Criteria) (e.g. “the solid ignites spontaneously in air”)</w:t>
      </w:r>
    </w:p>
    <w:p>
      <w:pPr>
        <w:spacing w:line="360" w:lineRule="auto"/>
        <w:ind w:firstLine="480"/>
      </w:pPr>
      <w:r>
        <w:rPr>
          <w:rFonts w:ascii="Times New Roman" w:hAnsi="Times New Roman" w:eastAsia="宋体"/>
          <w:b w:val="0"/>
          <w:sz w:val="24"/>
        </w:rPr>
        <w:t>− indicate whether pyrophoric properties could be altered over time, e.g. by formation</w:t>
      </w:r>
    </w:p>
    <w:p>
      <w:pPr>
        <w:spacing w:line="360" w:lineRule="auto"/>
        <w:ind w:firstLine="480"/>
      </w:pPr>
      <w:r>
        <w:rPr>
          <w:rFonts w:ascii="Times New Roman" w:hAnsi="Times New Roman" w:eastAsia="宋体"/>
          <w:b w:val="0"/>
          <w:sz w:val="24"/>
        </w:rPr>
        <w:t>of a protective surface layer through slow oxidation</w:t>
      </w:r>
    </w:p>
    <w:p>
      <w:pPr>
        <w:spacing w:line="360" w:lineRule="auto"/>
        <w:ind w:firstLine="480"/>
      </w:pPr>
      <w:r>
        <w:rPr>
          <w:rFonts w:ascii="Times New Roman" w:hAnsi="Times New Roman" w:eastAsia="宋体"/>
          <w:b w:val="0"/>
          <w:sz w:val="24"/>
        </w:rPr>
        <w:t>2.11</w:t>
      </w:r>
    </w:p>
    <w:p>
      <w:pPr>
        <w:spacing w:line="360" w:lineRule="auto"/>
        <w:ind w:firstLine="480"/>
      </w:pPr>
      <w:r>
        <w:rPr>
          <w:rFonts w:ascii="Times New Roman" w:hAnsi="Times New Roman" w:eastAsia="宋体"/>
          <w:b w:val="0"/>
          <w:sz w:val="24"/>
        </w:rPr>
        <w:t>Self-heating</w:t>
      </w:r>
    </w:p>
    <w:p>
      <w:pPr>
        <w:spacing w:line="360" w:lineRule="auto"/>
        <w:ind w:firstLine="480"/>
      </w:pPr>
      <w:r>
        <w:rPr>
          <w:rFonts w:ascii="Times New Roman" w:hAnsi="Times New Roman" w:eastAsia="宋体"/>
          <w:b w:val="0"/>
          <w:sz w:val="24"/>
        </w:rPr>
        <w:t>substances and</w:t>
      </w:r>
    </w:p>
    <w:p>
      <w:pPr>
        <w:spacing w:line="360" w:lineRule="auto"/>
        <w:ind w:firstLine="480"/>
      </w:pPr>
      <w:r>
        <w:rPr>
          <w:rFonts w:ascii="Times New Roman" w:hAnsi="Times New Roman" w:eastAsia="宋体"/>
          <w:b w:val="0"/>
          <w:sz w:val="24"/>
        </w:rPr>
        <w:t>mixtures</w:t>
      </w:r>
    </w:p>
    <w:p>
      <w:pPr>
        <w:spacing w:line="360" w:lineRule="auto"/>
        <w:ind w:firstLine="480"/>
      </w:pPr>
      <w:r>
        <w:rPr>
          <w:rFonts w:ascii="Times New Roman" w:hAnsi="Times New Roman" w:eastAsia="宋体"/>
          <w:b w:val="0"/>
          <w:sz w:val="24"/>
        </w:rPr>
        <w:t>− indicate whether spontaneous ignition occurs, include possible screening data and/or</w:t>
      </w:r>
    </w:p>
    <w:p>
      <w:pPr>
        <w:spacing w:line="360" w:lineRule="auto"/>
        <w:ind w:firstLine="480"/>
      </w:pPr>
      <w:r>
        <w:rPr>
          <w:rFonts w:ascii="Times New Roman" w:hAnsi="Times New Roman" w:eastAsia="宋体"/>
          <w:b w:val="0"/>
          <w:sz w:val="24"/>
        </w:rPr>
        <w:t>method used (generally Test N.4, section 33.3.1.6 of the Manual of Tests and</w:t>
      </w:r>
    </w:p>
    <w:p>
      <w:pPr>
        <w:spacing w:line="360" w:lineRule="auto"/>
        <w:ind w:firstLine="480"/>
      </w:pPr>
      <w:r>
        <w:rPr>
          <w:rFonts w:ascii="Times New Roman" w:hAnsi="Times New Roman" w:eastAsia="宋体"/>
          <w:b w:val="0"/>
          <w:sz w:val="24"/>
        </w:rPr>
        <w:t>Criteria) and note the maximum temperature rise obtained</w:t>
      </w:r>
    </w:p>
    <w:p>
      <w:pPr>
        <w:spacing w:line="360" w:lineRule="auto"/>
        <w:ind w:firstLine="480"/>
      </w:pPr>
      <w:r>
        <w:rPr>
          <w:rFonts w:ascii="Times New Roman" w:hAnsi="Times New Roman" w:eastAsia="宋体"/>
          <w:b w:val="0"/>
          <w:sz w:val="24"/>
        </w:rPr>
        <w:t>− indicate the results of screening tests according to chapter 2.11, paragraph 2.11.4.2,</w:t>
      </w:r>
    </w:p>
    <w:p>
      <w:pPr>
        <w:spacing w:line="360" w:lineRule="auto"/>
        <w:ind w:firstLine="480"/>
      </w:pPr>
      <w:r>
        <w:rPr>
          <w:rFonts w:ascii="Times New Roman" w:hAnsi="Times New Roman" w:eastAsia="宋体"/>
          <w:b w:val="0"/>
          <w:sz w:val="24"/>
        </w:rPr>
        <w:t>if relevant and available</w:t>
      </w:r>
    </w:p>
    <w:p>
      <w:pPr>
        <w:spacing w:line="360" w:lineRule="auto"/>
        <w:ind w:firstLine="480"/>
      </w:pPr>
      <w:r>
        <w:rPr>
          <w:rFonts w:ascii="Times New Roman" w:hAnsi="Times New Roman" w:eastAsia="宋体"/>
          <w:b w:val="0"/>
          <w:sz w:val="24"/>
        </w:rPr>
        <w:t>2.12</w:t>
      </w:r>
    </w:p>
    <w:p>
      <w:pPr>
        <w:spacing w:line="360" w:lineRule="auto"/>
        <w:ind w:firstLine="480"/>
      </w:pPr>
      <w:r>
        <w:rPr>
          <w:rFonts w:ascii="Times New Roman" w:hAnsi="Times New Roman" w:eastAsia="宋体"/>
          <w:b w:val="0"/>
          <w:sz w:val="24"/>
        </w:rPr>
        <w:t>Substances and</w:t>
      </w:r>
    </w:p>
    <w:p>
      <w:pPr>
        <w:spacing w:line="360" w:lineRule="auto"/>
        <w:ind w:firstLine="480"/>
      </w:pPr>
      <w:r>
        <w:rPr>
          <w:rFonts w:ascii="Times New Roman" w:hAnsi="Times New Roman" w:eastAsia="宋体"/>
          <w:b w:val="0"/>
          <w:sz w:val="24"/>
        </w:rPr>
        <w:t>mixtures which,</w:t>
      </w:r>
    </w:p>
    <w:p>
      <w:pPr>
        <w:spacing w:line="360" w:lineRule="auto"/>
        <w:ind w:firstLine="480"/>
      </w:pPr>
      <w:r>
        <w:rPr>
          <w:rFonts w:ascii="Times New Roman" w:hAnsi="Times New Roman" w:eastAsia="宋体"/>
          <w:b w:val="0"/>
          <w:sz w:val="24"/>
        </w:rPr>
        <w:t>in contact with</w:t>
      </w:r>
    </w:p>
    <w:p>
      <w:pPr>
        <w:spacing w:line="360" w:lineRule="auto"/>
        <w:ind w:firstLine="480"/>
      </w:pPr>
      <w:r>
        <w:rPr>
          <w:rFonts w:ascii="Times New Roman" w:hAnsi="Times New Roman" w:eastAsia="宋体"/>
          <w:b w:val="0"/>
          <w:sz w:val="24"/>
        </w:rPr>
        <w:t>water, emit</w:t>
      </w:r>
    </w:p>
    <w:p>
      <w:pPr>
        <w:spacing w:line="360" w:lineRule="auto"/>
        <w:ind w:firstLine="480"/>
      </w:pPr>
      <w:r>
        <w:rPr>
          <w:rFonts w:ascii="Times New Roman" w:hAnsi="Times New Roman" w:eastAsia="宋体"/>
          <w:b w:val="0"/>
          <w:sz w:val="24"/>
        </w:rPr>
        <w:t>flammable gases</w:t>
      </w:r>
    </w:p>
    <w:p>
      <w:pPr>
        <w:spacing w:line="360" w:lineRule="auto"/>
        <w:ind w:firstLine="480"/>
      </w:pPr>
      <w:r>
        <w:rPr>
          <w:rFonts w:ascii="Times New Roman" w:hAnsi="Times New Roman" w:eastAsia="宋体"/>
          <w:b w:val="0"/>
          <w:sz w:val="24"/>
        </w:rPr>
        <w:t>− indicate the identity of the emitted gas, if known</w:t>
      </w:r>
    </w:p>
    <w:p>
      <w:pPr>
        <w:spacing w:line="360" w:lineRule="auto"/>
        <w:ind w:firstLine="480"/>
      </w:pPr>
      <w:r>
        <w:rPr>
          <w:rFonts w:ascii="Times New Roman" w:hAnsi="Times New Roman" w:eastAsia="宋体"/>
          <w:b w:val="0"/>
          <w:sz w:val="24"/>
        </w:rPr>
        <w:t>− indicate whether the emitted gas ignites spontaneously</w:t>
      </w:r>
    </w:p>
    <w:p>
      <w:pPr>
        <w:spacing w:line="360" w:lineRule="auto"/>
        <w:ind w:firstLine="480"/>
      </w:pPr>
      <w:r>
        <w:rPr>
          <w:rFonts w:ascii="Times New Roman" w:hAnsi="Times New Roman" w:eastAsia="宋体"/>
          <w:b w:val="0"/>
          <w:sz w:val="24"/>
        </w:rPr>
        <w:t>− indicate the gas evolution rate, generally determined by Test N.5 (section 33.4.1.4 of</w:t>
      </w:r>
    </w:p>
    <w:p>
      <w:pPr>
        <w:spacing w:line="360" w:lineRule="auto"/>
        <w:ind w:firstLine="480"/>
      </w:pPr>
      <w:r>
        <w:rPr>
          <w:rFonts w:ascii="Times New Roman" w:hAnsi="Times New Roman" w:eastAsia="宋体"/>
          <w:b w:val="0"/>
          <w:sz w:val="24"/>
        </w:rPr>
        <w:t>the Manual of Tests and Criteria), unless the test has not been completed e.g.</w:t>
      </w:r>
    </w:p>
    <w:p>
      <w:pPr>
        <w:spacing w:line="360" w:lineRule="auto"/>
        <w:ind w:firstLine="480"/>
      </w:pPr>
      <w:r>
        <w:rPr>
          <w:rFonts w:ascii="Times New Roman" w:hAnsi="Times New Roman" w:eastAsia="宋体"/>
          <w:b w:val="0"/>
          <w:sz w:val="24"/>
        </w:rPr>
        <w:t>because the gas ignites spontaneously</w:t>
      </w:r>
    </w:p>
    <w:p>
      <w:pPr>
        <w:spacing w:line="360" w:lineRule="auto"/>
        <w:ind w:firstLine="480"/>
      </w:pPr>
      <w:r>
        <w:rPr>
          <w:rFonts w:ascii="Times New Roman" w:hAnsi="Times New Roman" w:eastAsia="宋体"/>
          <w:b w:val="0"/>
          <w:sz w:val="24"/>
        </w:rPr>
        <w:t>- 423 -</w:t>
      </w:r>
    </w:p>
    <w:p>
      <w:pPr>
        <w:spacing w:line="360" w:lineRule="auto"/>
        <w:ind w:firstLine="480"/>
      </w:pPr>
      <w:r>
        <w:rPr>
          <w:rFonts w:ascii="Times New Roman" w:hAnsi="Times New Roman" w:eastAsia="宋体"/>
          <w:b w:val="0"/>
          <w:sz w:val="24"/>
        </w:rPr>
        <w:t>Table A4.3.9.2: Data relevant with regard to physical hazard classes (supplemental) (cont’d)</w:t>
      </w:r>
    </w:p>
    <w:p>
      <w:pPr>
        <w:spacing w:line="360" w:lineRule="auto"/>
        <w:ind w:firstLine="480"/>
      </w:pPr>
      <w:r>
        <w:rPr>
          <w:rFonts w:ascii="Times New Roman" w:hAnsi="Times New Roman" w:eastAsia="宋体"/>
          <w:b w:val="0"/>
          <w:sz w:val="24"/>
        </w:rPr>
        <w:t>Chapter</w:t>
      </w:r>
    </w:p>
    <w:p>
      <w:pPr>
        <w:spacing w:line="360" w:lineRule="auto"/>
        <w:ind w:firstLine="480"/>
      </w:pPr>
      <w:r>
        <w:rPr>
          <w:rFonts w:ascii="Times New Roman" w:hAnsi="Times New Roman" w:eastAsia="宋体"/>
          <w:b w:val="0"/>
          <w:sz w:val="24"/>
        </w:rPr>
        <w:t>Hazard class</w:t>
      </w:r>
    </w:p>
    <w:p>
      <w:pPr>
        <w:spacing w:line="360" w:lineRule="auto"/>
        <w:ind w:firstLine="480"/>
      </w:pPr>
      <w:r>
        <w:rPr>
          <w:rFonts w:ascii="Times New Roman" w:hAnsi="Times New Roman" w:eastAsia="宋体"/>
          <w:b w:val="0"/>
          <w:sz w:val="24"/>
        </w:rPr>
        <w:t>Property/Safety characteristic/Test result and</w:t>
      </w:r>
    </w:p>
    <w:p>
      <w:pPr>
        <w:spacing w:line="360" w:lineRule="auto"/>
        <w:ind w:firstLine="480"/>
      </w:pPr>
      <w:r>
        <w:rPr>
          <w:rFonts w:ascii="Times New Roman" w:hAnsi="Times New Roman" w:eastAsia="宋体"/>
          <w:b w:val="0"/>
          <w:sz w:val="24"/>
        </w:rPr>
        <w:t>Remarks/Guidance</w:t>
      </w:r>
    </w:p>
    <w:p>
      <w:pPr>
        <w:spacing w:line="360" w:lineRule="auto"/>
        <w:ind w:firstLine="480"/>
      </w:pPr>
      <w:r>
        <w:rPr>
          <w:rFonts w:ascii="Times New Roman" w:hAnsi="Times New Roman" w:eastAsia="宋体"/>
          <w:b w:val="0"/>
          <w:sz w:val="24"/>
        </w:rPr>
        <w:t>2.13</w:t>
      </w:r>
    </w:p>
    <w:p>
      <w:pPr>
        <w:spacing w:line="360" w:lineRule="auto"/>
        <w:ind w:firstLine="480"/>
      </w:pPr>
      <w:r>
        <w:rPr>
          <w:rFonts w:ascii="Times New Roman" w:hAnsi="Times New Roman" w:eastAsia="宋体"/>
          <w:b w:val="0"/>
          <w:sz w:val="24"/>
        </w:rPr>
        <w:t>Oxidizing</w:t>
      </w:r>
    </w:p>
    <w:p>
      <w:pPr>
        <w:spacing w:line="360" w:lineRule="auto"/>
        <w:ind w:firstLine="480"/>
      </w:pPr>
      <w:r>
        <w:rPr>
          <w:rFonts w:ascii="Times New Roman" w:hAnsi="Times New Roman" w:eastAsia="宋体"/>
          <w:b w:val="0"/>
          <w:sz w:val="24"/>
        </w:rPr>
        <w:t>liquids</w:t>
      </w:r>
    </w:p>
    <w:p>
      <w:pPr>
        <w:spacing w:line="360" w:lineRule="auto"/>
        <w:ind w:firstLine="480"/>
      </w:pPr>
      <w:r>
        <w:rPr>
          <w:rFonts w:ascii="Times New Roman" w:hAnsi="Times New Roman" w:eastAsia="宋体"/>
          <w:b w:val="0"/>
          <w:sz w:val="24"/>
        </w:rPr>
        <w:t>− indicate whether spontaneous ignition occurs when mixed with cellulose, generally</w:t>
      </w:r>
    </w:p>
    <w:p>
      <w:pPr>
        <w:spacing w:line="360" w:lineRule="auto"/>
        <w:ind w:firstLine="480"/>
      </w:pPr>
      <w:r>
        <w:rPr>
          <w:rFonts w:ascii="Times New Roman" w:hAnsi="Times New Roman" w:eastAsia="宋体"/>
          <w:b w:val="0"/>
          <w:sz w:val="24"/>
        </w:rPr>
        <w:t>determined by Test O.2 (section 34.4.2 of the Manual of Tests and Criteria) (e.g.</w:t>
      </w:r>
    </w:p>
    <w:p>
      <w:pPr>
        <w:spacing w:line="360" w:lineRule="auto"/>
        <w:ind w:firstLine="480"/>
      </w:pPr>
      <w:r>
        <w:rPr>
          <w:rFonts w:ascii="Times New Roman" w:hAnsi="Times New Roman" w:eastAsia="宋体"/>
          <w:b w:val="0"/>
          <w:sz w:val="24"/>
        </w:rPr>
        <w:t>“the mixture with cellulose (prepared for Test O.2) ignites spontaneously”)</w:t>
      </w:r>
    </w:p>
    <w:p>
      <w:pPr>
        <w:spacing w:line="360" w:lineRule="auto"/>
        <w:ind w:firstLine="480"/>
      </w:pPr>
      <w:r>
        <w:rPr>
          <w:rFonts w:ascii="Times New Roman" w:hAnsi="Times New Roman" w:eastAsia="宋体"/>
          <w:b w:val="0"/>
          <w:sz w:val="24"/>
        </w:rPr>
        <w:t>2.14</w:t>
      </w:r>
    </w:p>
    <w:p>
      <w:pPr>
        <w:spacing w:line="360" w:lineRule="auto"/>
        <w:ind w:firstLine="480"/>
      </w:pPr>
      <w:r>
        <w:rPr>
          <w:rFonts w:ascii="Times New Roman" w:hAnsi="Times New Roman" w:eastAsia="宋体"/>
          <w:b w:val="0"/>
          <w:sz w:val="24"/>
        </w:rPr>
        <w:t>Oxidizing solids</w:t>
      </w:r>
    </w:p>
    <w:p>
      <w:pPr>
        <w:spacing w:line="360" w:lineRule="auto"/>
        <w:ind w:firstLine="480"/>
      </w:pPr>
      <w:r>
        <w:rPr>
          <w:rFonts w:ascii="Times New Roman" w:hAnsi="Times New Roman" w:eastAsia="宋体"/>
          <w:b w:val="0"/>
          <w:sz w:val="24"/>
        </w:rPr>
        <w:t>− indicate whether spontaneous ignition occurs when mixed with cellulose, generally</w:t>
      </w:r>
    </w:p>
    <w:p>
      <w:pPr>
        <w:spacing w:line="360" w:lineRule="auto"/>
        <w:ind w:firstLine="480"/>
      </w:pPr>
      <w:r>
        <w:rPr>
          <w:rFonts w:ascii="Times New Roman" w:hAnsi="Times New Roman" w:eastAsia="宋体"/>
          <w:b w:val="0"/>
          <w:sz w:val="24"/>
        </w:rPr>
        <w:t>determined by Test O.1 or Test O.3 (sections 34.4.1 or 34.4.3 of the Manual of Tests</w:t>
      </w:r>
    </w:p>
    <w:p>
      <w:pPr>
        <w:spacing w:line="360" w:lineRule="auto"/>
        <w:ind w:firstLine="480"/>
      </w:pPr>
      <w:r>
        <w:rPr>
          <w:rFonts w:ascii="Times New Roman" w:hAnsi="Times New Roman" w:eastAsia="宋体"/>
          <w:b w:val="0"/>
          <w:sz w:val="24"/>
        </w:rPr>
        <w:t>and Criteria) (e.g. “the mixture with cellulose (prepared for Test O.1 or O.3) ignites</w:t>
      </w:r>
    </w:p>
    <w:p>
      <w:pPr>
        <w:spacing w:line="360" w:lineRule="auto"/>
        <w:ind w:firstLine="480"/>
      </w:pPr>
      <w:r>
        <w:rPr>
          <w:rFonts w:ascii="Times New Roman" w:hAnsi="Times New Roman" w:eastAsia="宋体"/>
          <w:b w:val="0"/>
          <w:sz w:val="24"/>
        </w:rPr>
        <w:t>spontaneously”)</w:t>
      </w:r>
    </w:p>
    <w:p>
      <w:pPr>
        <w:spacing w:line="360" w:lineRule="auto"/>
        <w:ind w:firstLine="480"/>
      </w:pPr>
      <w:r>
        <w:rPr>
          <w:rFonts w:ascii="Times New Roman" w:hAnsi="Times New Roman" w:eastAsia="宋体"/>
          <w:b w:val="0"/>
          <w:sz w:val="24"/>
        </w:rPr>
        <w:t>2.15</w:t>
      </w:r>
    </w:p>
    <w:p>
      <w:pPr>
        <w:spacing w:line="360" w:lineRule="auto"/>
        <w:ind w:firstLine="480"/>
      </w:pPr>
      <w:r>
        <w:rPr>
          <w:rFonts w:ascii="Times New Roman" w:hAnsi="Times New Roman" w:eastAsia="宋体"/>
          <w:b w:val="0"/>
          <w:sz w:val="24"/>
        </w:rPr>
        <w:t>Organic</w:t>
      </w:r>
    </w:p>
    <w:p>
      <w:pPr>
        <w:spacing w:line="360" w:lineRule="auto"/>
        <w:ind w:firstLine="480"/>
      </w:pPr>
      <w:r>
        <w:rPr>
          <w:rFonts w:ascii="Times New Roman" w:hAnsi="Times New Roman" w:eastAsia="宋体"/>
          <w:b w:val="0"/>
          <w:sz w:val="24"/>
        </w:rPr>
        <w:t>peroxides</w:t>
      </w:r>
    </w:p>
    <w:p>
      <w:pPr>
        <w:spacing w:line="360" w:lineRule="auto"/>
        <w:ind w:firstLine="480"/>
      </w:pPr>
      <w:r>
        <w:rPr>
          <w:rFonts w:ascii="Times New Roman" w:hAnsi="Times New Roman" w:eastAsia="宋体"/>
          <w:b w:val="0"/>
          <w:sz w:val="24"/>
        </w:rPr>
        <w:t>− for the SADT (self-accelerating decomposition temperature) see the entry for the</w:t>
      </w:r>
    </w:p>
    <w:p>
      <w:pPr>
        <w:spacing w:line="360" w:lineRule="auto"/>
        <w:ind w:firstLine="480"/>
      </w:pPr>
      <w:r>
        <w:rPr>
          <w:rFonts w:ascii="Times New Roman" w:hAnsi="Times New Roman" w:eastAsia="宋体"/>
          <w:b w:val="0"/>
          <w:sz w:val="24"/>
        </w:rPr>
        <w:t>decomposition energy in table A4.3.9.1</w:t>
      </w:r>
    </w:p>
    <w:p>
      <w:pPr>
        <w:spacing w:line="360" w:lineRule="auto"/>
        <w:ind w:firstLine="480"/>
      </w:pPr>
      <w:r>
        <w:rPr>
          <w:rFonts w:ascii="Times New Roman" w:hAnsi="Times New Roman" w:eastAsia="宋体"/>
          <w:b w:val="0"/>
          <w:sz w:val="24"/>
        </w:rPr>
        <w:t>− indicate the decomposition energy (value and method of determination), if available</w:t>
      </w:r>
    </w:p>
    <w:p>
      <w:pPr>
        <w:spacing w:line="360" w:lineRule="auto"/>
        <w:ind w:firstLine="480"/>
      </w:pPr>
      <w:r>
        <w:rPr>
          <w:rFonts w:ascii="Times New Roman" w:hAnsi="Times New Roman" w:eastAsia="宋体"/>
          <w:b w:val="0"/>
          <w:sz w:val="24"/>
        </w:rPr>
        <w:t>− indicate detonation properties (Yes/Partial/No), also in packaging where relevant</w:t>
      </w:r>
    </w:p>
    <w:p>
      <w:pPr>
        <w:spacing w:line="360" w:lineRule="auto"/>
        <w:ind w:firstLine="480"/>
      </w:pPr>
      <w:r>
        <w:rPr>
          <w:rFonts w:ascii="Times New Roman" w:hAnsi="Times New Roman" w:eastAsia="宋体"/>
          <w:b w:val="0"/>
          <w:sz w:val="24"/>
        </w:rPr>
        <w:t>− indicate deflagration properties (Yes rapidly/Yes slowly/No), also in packaging</w:t>
      </w:r>
    </w:p>
    <w:p>
      <w:pPr>
        <w:spacing w:line="360" w:lineRule="auto"/>
        <w:ind w:firstLine="480"/>
      </w:pPr>
      <w:r>
        <w:rPr>
          <w:rFonts w:ascii="Times New Roman" w:hAnsi="Times New Roman" w:eastAsia="宋体"/>
          <w:b w:val="0"/>
          <w:sz w:val="24"/>
        </w:rPr>
        <w:t>where relevant</w:t>
      </w:r>
    </w:p>
    <w:p>
      <w:pPr>
        <w:spacing w:line="360" w:lineRule="auto"/>
        <w:ind w:firstLine="480"/>
      </w:pPr>
      <w:r>
        <w:rPr>
          <w:rFonts w:ascii="Times New Roman" w:hAnsi="Times New Roman" w:eastAsia="宋体"/>
          <w:b w:val="0"/>
          <w:sz w:val="24"/>
        </w:rPr>
        <w:t>− indicate the effect of heating under confinement (Violent/Medium/Low/No), also in</w:t>
      </w:r>
    </w:p>
    <w:p>
      <w:pPr>
        <w:spacing w:line="360" w:lineRule="auto"/>
        <w:ind w:firstLine="480"/>
      </w:pPr>
      <w:r>
        <w:rPr>
          <w:rFonts w:ascii="Times New Roman" w:hAnsi="Times New Roman" w:eastAsia="宋体"/>
          <w:b w:val="0"/>
          <w:sz w:val="24"/>
        </w:rPr>
        <w:t>packaging where relevant</w:t>
      </w:r>
    </w:p>
    <w:p>
      <w:pPr>
        <w:spacing w:line="360" w:lineRule="auto"/>
        <w:ind w:firstLine="480"/>
      </w:pPr>
      <w:r>
        <w:rPr>
          <w:rFonts w:ascii="Times New Roman" w:hAnsi="Times New Roman" w:eastAsia="宋体"/>
          <w:b w:val="0"/>
          <w:sz w:val="24"/>
        </w:rPr>
        <w:t>− indicate the explosive power if applicable (Not low/Low/None)</w:t>
      </w:r>
    </w:p>
    <w:p>
      <w:pPr>
        <w:spacing w:line="360" w:lineRule="auto"/>
        <w:ind w:firstLine="480"/>
      </w:pPr>
      <w:r>
        <w:rPr>
          <w:rFonts w:ascii="Times New Roman" w:hAnsi="Times New Roman" w:eastAsia="宋体"/>
          <w:b w:val="0"/>
          <w:sz w:val="24"/>
        </w:rPr>
        <w:t>2.16</w:t>
      </w:r>
    </w:p>
    <w:p>
      <w:pPr>
        <w:spacing w:line="360" w:lineRule="auto"/>
        <w:ind w:firstLine="480"/>
      </w:pPr>
      <w:r>
        <w:rPr>
          <w:rFonts w:ascii="Times New Roman" w:hAnsi="Times New Roman" w:eastAsia="宋体"/>
          <w:b w:val="0"/>
          <w:sz w:val="24"/>
        </w:rPr>
        <w:t>Corrosive to</w:t>
      </w:r>
    </w:p>
    <w:p>
      <w:pPr>
        <w:spacing w:line="360" w:lineRule="auto"/>
        <w:ind w:firstLine="480"/>
      </w:pPr>
      <w:r>
        <w:rPr>
          <w:rFonts w:ascii="Times New Roman" w:hAnsi="Times New Roman" w:eastAsia="宋体"/>
          <w:b w:val="0"/>
          <w:sz w:val="24"/>
        </w:rPr>
        <w:t>metals</w:t>
      </w:r>
    </w:p>
    <w:p>
      <w:pPr>
        <w:spacing w:line="360" w:lineRule="auto"/>
        <w:ind w:firstLine="480"/>
      </w:pPr>
      <w:r>
        <w:rPr>
          <w:rFonts w:ascii="Times New Roman" w:hAnsi="Times New Roman" w:eastAsia="宋体"/>
          <w:b w:val="0"/>
          <w:sz w:val="24"/>
        </w:rPr>
        <w:t>− indicate which metals are corroded by the substance or mixture (e.g. “corrosive to</w:t>
      </w:r>
    </w:p>
    <w:p>
      <w:pPr>
        <w:spacing w:line="360" w:lineRule="auto"/>
        <w:ind w:firstLine="480"/>
      </w:pPr>
      <w:r>
        <w:rPr>
          <w:rFonts w:ascii="Times New Roman" w:hAnsi="Times New Roman" w:eastAsia="宋体"/>
          <w:b w:val="0"/>
          <w:sz w:val="24"/>
        </w:rPr>
        <w:t>aluminium” or “corrosive to steel” etc.), if available</w:t>
      </w:r>
    </w:p>
    <w:p>
      <w:pPr>
        <w:spacing w:line="360" w:lineRule="auto"/>
        <w:ind w:firstLine="480"/>
      </w:pPr>
      <w:r>
        <w:rPr>
          <w:rFonts w:ascii="Times New Roman" w:hAnsi="Times New Roman" w:eastAsia="宋体"/>
          <w:b w:val="0"/>
          <w:sz w:val="24"/>
        </w:rPr>
        <w:t>− indicate the corrosion rate and whether it refers to steel or aluminium, generally</w:t>
      </w:r>
    </w:p>
    <w:p>
      <w:pPr>
        <w:spacing w:line="360" w:lineRule="auto"/>
        <w:ind w:firstLine="480"/>
      </w:pPr>
      <w:r>
        <w:rPr>
          <w:rFonts w:ascii="Times New Roman" w:hAnsi="Times New Roman" w:eastAsia="宋体"/>
          <w:b w:val="0"/>
          <w:sz w:val="24"/>
        </w:rPr>
        <w:t>determined by Test C.1 (section 37.4 of the Manual of Tests and Criteria), if</w:t>
      </w:r>
    </w:p>
    <w:p>
      <w:pPr>
        <w:spacing w:line="360" w:lineRule="auto"/>
        <w:ind w:firstLine="480"/>
      </w:pPr>
      <w:r>
        <w:rPr>
          <w:rFonts w:ascii="Times New Roman" w:hAnsi="Times New Roman" w:eastAsia="宋体"/>
          <w:b w:val="0"/>
          <w:sz w:val="24"/>
        </w:rPr>
        <w:t>available</w:t>
      </w:r>
    </w:p>
    <w:p>
      <w:pPr>
        <w:spacing w:line="360" w:lineRule="auto"/>
        <w:ind w:firstLine="480"/>
      </w:pPr>
      <w:r>
        <w:rPr>
          <w:rFonts w:ascii="Times New Roman" w:hAnsi="Times New Roman" w:eastAsia="宋体"/>
          <w:b w:val="0"/>
          <w:sz w:val="24"/>
        </w:rPr>
        <w:t>− include a reference to other sections of the SDS with regard to compatible or</w:t>
      </w:r>
    </w:p>
    <w:p>
      <w:pPr>
        <w:spacing w:line="360" w:lineRule="auto"/>
        <w:ind w:firstLine="480"/>
      </w:pPr>
      <w:r>
        <w:rPr>
          <w:rFonts w:ascii="Times New Roman" w:hAnsi="Times New Roman" w:eastAsia="宋体"/>
          <w:b w:val="0"/>
          <w:sz w:val="24"/>
        </w:rPr>
        <w:t>incompatible materials (e.g. to packaging compatibilities in section 7 or to</w:t>
      </w:r>
    </w:p>
    <w:p>
      <w:pPr>
        <w:spacing w:line="360" w:lineRule="auto"/>
        <w:ind w:firstLine="480"/>
      </w:pPr>
      <w:r>
        <w:rPr>
          <w:rFonts w:ascii="Times New Roman" w:hAnsi="Times New Roman" w:eastAsia="宋体"/>
          <w:b w:val="0"/>
          <w:sz w:val="24"/>
        </w:rPr>
        <w:t>incompatible materials in section 10), as appropriate</w:t>
      </w:r>
    </w:p>
    <w:p>
      <w:pPr>
        <w:spacing w:line="360" w:lineRule="auto"/>
        <w:ind w:firstLine="480"/>
      </w:pPr>
      <w:r>
        <w:rPr>
          <w:rFonts w:ascii="Times New Roman" w:hAnsi="Times New Roman" w:eastAsia="宋体"/>
          <w:b w:val="0"/>
          <w:sz w:val="24"/>
        </w:rPr>
        <w:t>2.17</w:t>
      </w:r>
    </w:p>
    <w:p>
      <w:pPr>
        <w:spacing w:line="360" w:lineRule="auto"/>
        <w:ind w:firstLine="480"/>
      </w:pPr>
      <w:r>
        <w:rPr>
          <w:rFonts w:ascii="Times New Roman" w:hAnsi="Times New Roman" w:eastAsia="宋体"/>
          <w:b w:val="0"/>
          <w:sz w:val="24"/>
        </w:rPr>
        <w:t>Desensitized</w:t>
      </w:r>
    </w:p>
    <w:p>
      <w:pPr>
        <w:spacing w:line="360" w:lineRule="auto"/>
        <w:ind w:firstLine="480"/>
      </w:pPr>
      <w:r>
        <w:rPr>
          <w:rFonts w:ascii="Times New Roman" w:hAnsi="Times New Roman" w:eastAsia="宋体"/>
          <w:b w:val="0"/>
          <w:sz w:val="24"/>
        </w:rPr>
        <w:t>explosives</w:t>
      </w:r>
    </w:p>
    <w:p>
      <w:pPr>
        <w:spacing w:line="360" w:lineRule="auto"/>
        <w:ind w:firstLine="480"/>
      </w:pPr>
      <w:r>
        <w:rPr>
          <w:rFonts w:ascii="Times New Roman" w:hAnsi="Times New Roman" w:eastAsia="宋体"/>
          <w:b w:val="0"/>
          <w:sz w:val="24"/>
        </w:rPr>
        <w:t>− indicate what desensitizing agent is used</w:t>
      </w:r>
    </w:p>
    <w:p>
      <w:pPr>
        <w:spacing w:line="360" w:lineRule="auto"/>
        <w:ind w:firstLine="480"/>
      </w:pPr>
      <w:r>
        <w:rPr>
          <w:rFonts w:ascii="Times New Roman" w:hAnsi="Times New Roman" w:eastAsia="宋体"/>
          <w:b w:val="0"/>
          <w:sz w:val="24"/>
        </w:rPr>
        <w:t>− indicate the exothermic decomposition energy</w:t>
      </w:r>
    </w:p>
    <w:p>
      <w:pPr>
        <w:spacing w:line="360" w:lineRule="auto"/>
        <w:ind w:firstLine="480"/>
      </w:pPr>
      <w:r>
        <w:rPr>
          <w:rFonts w:ascii="Times New Roman" w:hAnsi="Times New Roman" w:eastAsia="宋体"/>
          <w:b w:val="0"/>
          <w:sz w:val="24"/>
        </w:rPr>
        <w:t>− indicate the corrected burning rate Ac</w:t>
      </w:r>
    </w:p>
    <w:p>
      <w:pPr>
        <w:spacing w:line="360" w:lineRule="auto"/>
        <w:ind w:firstLine="480"/>
      </w:pPr>
      <w:r>
        <w:rPr>
          <w:rFonts w:ascii="Times New Roman" w:hAnsi="Times New Roman" w:eastAsia="宋体"/>
          <w:b w:val="0"/>
          <w:sz w:val="24"/>
        </w:rPr>
        <w:t>- 424 -</w:t>
      </w:r>
    </w:p>
    <w:p>
      <w:pPr>
        <w:spacing w:line="360" w:lineRule="auto"/>
        <w:ind w:firstLine="480"/>
      </w:pPr>
      <w:r>
        <w:rPr>
          <w:rFonts w:ascii="Times New Roman" w:hAnsi="Times New Roman" w:eastAsia="宋体"/>
          <w:b w:val="0"/>
          <w:sz w:val="24"/>
        </w:rPr>
        <w:t>Table A4.3.9.3: Further safety characteristics (supplemental)</w:t>
      </w:r>
    </w:p>
    <w:p>
      <w:pPr>
        <w:spacing w:line="360" w:lineRule="auto"/>
        <w:ind w:firstLine="480"/>
      </w:pPr>
      <w:r>
        <w:rPr>
          <w:rFonts w:ascii="Times New Roman" w:hAnsi="Times New Roman" w:eastAsia="宋体"/>
          <w:b w:val="0"/>
          <w:sz w:val="24"/>
        </w:rPr>
        <w:t>This table lists further properties/safety characteristics and test results that are not required on the SDS</w:t>
      </w:r>
    </w:p>
    <w:p>
      <w:pPr>
        <w:spacing w:line="360" w:lineRule="auto"/>
        <w:ind w:firstLine="480"/>
      </w:pPr>
      <w:r>
        <w:rPr>
          <w:rFonts w:ascii="Times New Roman" w:hAnsi="Times New Roman" w:eastAsia="宋体"/>
          <w:b w:val="0"/>
          <w:sz w:val="24"/>
        </w:rPr>
        <w:t>but may be useful to communicate for a substance or mixture. Other physical properties/safety characteristics of the</w:t>
      </w:r>
    </w:p>
    <w:p>
      <w:pPr>
        <w:spacing w:line="360" w:lineRule="auto"/>
        <w:ind w:firstLine="480"/>
      </w:pPr>
      <w:r>
        <w:rPr>
          <w:rFonts w:ascii="Times New Roman" w:hAnsi="Times New Roman" w:eastAsia="宋体"/>
          <w:b w:val="0"/>
          <w:sz w:val="24"/>
        </w:rPr>
        <w:t>substance or mixture not identified in this table may also be useful to communicate. Include all relevant information, such</w:t>
      </w:r>
    </w:p>
    <w:p>
      <w:pPr>
        <w:spacing w:line="360" w:lineRule="auto"/>
        <w:ind w:firstLine="480"/>
      </w:pPr>
      <w:r>
        <w:rPr>
          <w:rFonts w:ascii="Times New Roman" w:hAnsi="Times New Roman" w:eastAsia="宋体"/>
          <w:b w:val="0"/>
          <w:sz w:val="24"/>
        </w:rPr>
        <w:t>as a short description, value(s), unit, conditions (e.g. temperature, pressure), method, each as appropriate.</w:t>
      </w:r>
    </w:p>
    <w:p>
      <w:pPr>
        <w:spacing w:line="360" w:lineRule="auto"/>
        <w:ind w:firstLine="480"/>
      </w:pPr>
      <w:r>
        <w:rPr>
          <w:rFonts w:ascii="Times New Roman" w:hAnsi="Times New Roman" w:eastAsia="宋体"/>
          <w:b w:val="0"/>
          <w:sz w:val="24"/>
        </w:rPr>
        <w:t>Safety characteristic</w:t>
      </w:r>
    </w:p>
    <w:p>
      <w:pPr>
        <w:spacing w:line="360" w:lineRule="auto"/>
        <w:ind w:firstLine="480"/>
      </w:pPr>
      <w:r>
        <w:rPr>
          <w:rFonts w:ascii="Times New Roman" w:hAnsi="Times New Roman" w:eastAsia="宋体"/>
          <w:b w:val="0"/>
          <w:sz w:val="24"/>
        </w:rPr>
        <w:t>and/or test result</w:t>
      </w:r>
    </w:p>
    <w:p>
      <w:pPr>
        <w:spacing w:line="360" w:lineRule="auto"/>
        <w:ind w:firstLine="480"/>
      </w:pPr>
      <w:r>
        <w:rPr>
          <w:rFonts w:ascii="Times New Roman" w:hAnsi="Times New Roman" w:eastAsia="宋体"/>
          <w:b w:val="0"/>
          <w:sz w:val="24"/>
        </w:rPr>
        <w:t>Remarks/Guidance</w:t>
      </w:r>
    </w:p>
    <w:p>
      <w:pPr>
        <w:spacing w:line="360" w:lineRule="auto"/>
        <w:ind w:firstLine="480"/>
      </w:pPr>
      <w:r>
        <w:rPr>
          <w:rFonts w:ascii="Times New Roman" w:hAnsi="Times New Roman" w:eastAsia="宋体"/>
          <w:b w:val="0"/>
          <w:sz w:val="24"/>
        </w:rPr>
        <w:t>Mechanical sensitivity</w:t>
      </w:r>
    </w:p>
    <w:p>
      <w:pPr>
        <w:spacing w:line="360" w:lineRule="auto"/>
        <w:ind w:firstLine="480"/>
      </w:pPr>
      <w:r>
        <w:rPr>
          <w:rFonts w:ascii="Times New Roman" w:hAnsi="Times New Roman" w:eastAsia="宋体"/>
          <w:b w:val="0"/>
          <w:sz w:val="24"/>
        </w:rPr>
        <w:t>− applicable to energetic substances and mixtures with an exothermic decomposition</w:t>
      </w:r>
    </w:p>
    <w:p>
      <w:pPr>
        <w:spacing w:line="360" w:lineRule="auto"/>
        <w:ind w:firstLine="480"/>
      </w:pPr>
      <w:r>
        <w:rPr>
          <w:rFonts w:ascii="Times New Roman" w:hAnsi="Times New Roman" w:eastAsia="宋体"/>
          <w:b w:val="0"/>
          <w:sz w:val="24"/>
        </w:rPr>
        <w:t>energy ≥ 500 J/g in accordance with the Manual of Tests and Criteria, appendix 6,</w:t>
      </w:r>
    </w:p>
    <w:p>
      <w:pPr>
        <w:spacing w:line="360" w:lineRule="auto"/>
        <w:ind w:firstLine="480"/>
      </w:pPr>
      <w:r>
        <w:rPr>
          <w:rFonts w:ascii="Times New Roman" w:hAnsi="Times New Roman" w:eastAsia="宋体"/>
          <w:b w:val="0"/>
          <w:sz w:val="24"/>
        </w:rPr>
        <w:t>section 3.3 (c)</w:t>
      </w:r>
    </w:p>
    <w:p>
      <w:pPr>
        <w:spacing w:line="360" w:lineRule="auto"/>
        <w:ind w:firstLine="480"/>
      </w:pPr>
      <w:r>
        <w:rPr>
          <w:rFonts w:ascii="Times New Roman" w:hAnsi="Times New Roman" w:eastAsia="宋体"/>
          <w:b w:val="0"/>
          <w:sz w:val="24"/>
        </w:rPr>
        <w:t>− indicate the sensitiveness to impact, generally determined by test 3 (a) (section 13.4 of</w:t>
      </w:r>
    </w:p>
    <w:p>
      <w:pPr>
        <w:spacing w:line="360" w:lineRule="auto"/>
        <w:ind w:firstLine="480"/>
      </w:pPr>
      <w:r>
        <w:rPr>
          <w:rFonts w:ascii="Times New Roman" w:hAnsi="Times New Roman" w:eastAsia="宋体"/>
          <w:b w:val="0"/>
          <w:sz w:val="24"/>
        </w:rPr>
        <w:t>the Manual of Tests and Criteria) (indicate preferably the limiting impact energy)</w:t>
      </w:r>
    </w:p>
    <w:p>
      <w:pPr>
        <w:spacing w:line="360" w:lineRule="auto"/>
        <w:ind w:firstLine="480"/>
      </w:pPr>
      <w:r>
        <w:rPr>
          <w:rFonts w:ascii="Times New Roman" w:hAnsi="Times New Roman" w:eastAsia="宋体"/>
          <w:b w:val="0"/>
          <w:sz w:val="24"/>
        </w:rPr>
        <w:t>− indicate the sensitiveness to friction, generally determined by test 3 (b) (section 13.5 of</w:t>
      </w:r>
    </w:p>
    <w:p>
      <w:pPr>
        <w:spacing w:line="360" w:lineRule="auto"/>
        <w:ind w:firstLine="480"/>
      </w:pPr>
      <w:r>
        <w:rPr>
          <w:rFonts w:ascii="Times New Roman" w:hAnsi="Times New Roman" w:eastAsia="宋体"/>
          <w:b w:val="0"/>
          <w:sz w:val="24"/>
        </w:rPr>
        <w:t>the Manual of Tests and Criteria) (indicate preferably the limiting load)</w:t>
      </w:r>
    </w:p>
    <w:p>
      <w:pPr>
        <w:spacing w:line="360" w:lineRule="auto"/>
        <w:ind w:firstLine="480"/>
      </w:pPr>
      <w:r>
        <w:rPr>
          <w:rFonts w:ascii="Times New Roman" w:hAnsi="Times New Roman" w:eastAsia="宋体"/>
          <w:b w:val="0"/>
          <w:sz w:val="24"/>
        </w:rPr>
        <w:t>SAPT (self-accelerating</w:t>
      </w:r>
    </w:p>
    <w:p>
      <w:pPr>
        <w:spacing w:line="360" w:lineRule="auto"/>
        <w:ind w:firstLine="480"/>
      </w:pPr>
      <w:r>
        <w:rPr>
          <w:rFonts w:ascii="Times New Roman" w:hAnsi="Times New Roman" w:eastAsia="宋体"/>
          <w:b w:val="0"/>
          <w:sz w:val="24"/>
        </w:rPr>
        <w:t>polymerization</w:t>
      </w:r>
    </w:p>
    <w:p>
      <w:pPr>
        <w:spacing w:line="360" w:lineRule="auto"/>
        <w:ind w:firstLine="480"/>
      </w:pPr>
      <w:r>
        <w:rPr>
          <w:rFonts w:ascii="Times New Roman" w:hAnsi="Times New Roman" w:eastAsia="宋体"/>
          <w:b w:val="0"/>
          <w:sz w:val="24"/>
        </w:rPr>
        <w:t>temperature)</w:t>
      </w:r>
    </w:p>
    <w:p>
      <w:pPr>
        <w:spacing w:line="360" w:lineRule="auto"/>
        <w:ind w:firstLine="480"/>
      </w:pPr>
      <w:r>
        <w:rPr>
          <w:rFonts w:ascii="Times New Roman" w:hAnsi="Times New Roman" w:eastAsia="宋体"/>
          <w:b w:val="0"/>
          <w:sz w:val="24"/>
        </w:rPr>
        <w:t>− applicable to substances and mixtures which may self-polymerize thereby generating</w:t>
      </w:r>
    </w:p>
    <w:p>
      <w:pPr>
        <w:spacing w:line="360" w:lineRule="auto"/>
        <w:ind w:firstLine="480"/>
      </w:pPr>
      <w:r>
        <w:rPr>
          <w:rFonts w:ascii="Times New Roman" w:hAnsi="Times New Roman" w:eastAsia="宋体"/>
          <w:b w:val="0"/>
          <w:sz w:val="24"/>
        </w:rPr>
        <w:t>dangerous amounts of heat and gas or vapour</w:t>
      </w:r>
    </w:p>
    <w:p>
      <w:pPr>
        <w:spacing w:line="360" w:lineRule="auto"/>
        <w:ind w:firstLine="480"/>
      </w:pPr>
      <w:r>
        <w:rPr>
          <w:rFonts w:ascii="Times New Roman" w:hAnsi="Times New Roman" w:eastAsia="宋体"/>
          <w:b w:val="0"/>
          <w:sz w:val="24"/>
        </w:rPr>
        <w:t>− indicate the volume for which the SAPT is given</w:t>
      </w:r>
    </w:p>
    <w:p>
      <w:pPr>
        <w:spacing w:line="360" w:lineRule="auto"/>
        <w:ind w:firstLine="480"/>
      </w:pPr>
      <w:r>
        <w:rPr>
          <w:rFonts w:ascii="Times New Roman" w:hAnsi="Times New Roman" w:eastAsia="宋体"/>
          <w:b w:val="0"/>
          <w:sz w:val="24"/>
        </w:rPr>
        <w:t>Formation of explosible</w:t>
      </w:r>
    </w:p>
    <w:p>
      <w:pPr>
        <w:spacing w:line="360" w:lineRule="auto"/>
        <w:ind w:firstLine="480"/>
      </w:pPr>
      <w:r>
        <w:rPr>
          <w:rFonts w:ascii="Times New Roman" w:hAnsi="Times New Roman" w:eastAsia="宋体"/>
          <w:b w:val="0"/>
          <w:sz w:val="24"/>
        </w:rPr>
        <w:t>dust/air mixtures</w:t>
      </w:r>
    </w:p>
    <w:p>
      <w:pPr>
        <w:spacing w:line="360" w:lineRule="auto"/>
        <w:ind w:firstLine="480"/>
      </w:pPr>
      <w:r>
        <w:rPr>
          <w:rFonts w:ascii="Times New Roman" w:hAnsi="Times New Roman" w:eastAsia="宋体"/>
          <w:b w:val="0"/>
          <w:sz w:val="24"/>
        </w:rPr>
        <w:t>− not applicable to gases and liquids</w:t>
      </w:r>
    </w:p>
    <w:p>
      <w:pPr>
        <w:spacing w:line="360" w:lineRule="auto"/>
        <w:ind w:firstLine="480"/>
      </w:pPr>
      <w:r>
        <w:rPr>
          <w:rFonts w:ascii="Times New Roman" w:hAnsi="Times New Roman" w:eastAsia="宋体"/>
          <w:b w:val="0"/>
          <w:sz w:val="24"/>
        </w:rPr>
        <w:t>− not applicable to solids containing only substances which are fully oxidized (e.g.</w:t>
      </w:r>
    </w:p>
    <w:p>
      <w:pPr>
        <w:spacing w:line="360" w:lineRule="auto"/>
        <w:ind w:firstLine="480"/>
      </w:pPr>
      <w:r>
        <w:rPr>
          <w:rFonts w:ascii="Times New Roman" w:hAnsi="Times New Roman" w:eastAsia="宋体"/>
          <w:b w:val="0"/>
          <w:sz w:val="24"/>
        </w:rPr>
        <w:t>silicon dioxide)</w:t>
      </w:r>
    </w:p>
    <w:p>
      <w:pPr>
        <w:spacing w:line="360" w:lineRule="auto"/>
        <w:ind w:firstLine="480"/>
      </w:pPr>
      <w:r>
        <w:rPr>
          <w:rFonts w:ascii="Times New Roman" w:hAnsi="Times New Roman" w:eastAsia="宋体"/>
          <w:b w:val="0"/>
          <w:sz w:val="24"/>
        </w:rPr>
        <w:t>− in case formation of explosible dust/air mixtures might be possible based on section 2</w:t>
      </w:r>
    </w:p>
    <w:p>
      <w:pPr>
        <w:spacing w:line="360" w:lineRule="auto"/>
        <w:ind w:firstLine="480"/>
      </w:pPr>
      <w:r>
        <w:rPr>
          <w:rFonts w:ascii="Times New Roman" w:hAnsi="Times New Roman" w:eastAsia="宋体"/>
          <w:b w:val="0"/>
          <w:sz w:val="24"/>
        </w:rPr>
        <w:t>of the SDS, relevant safety characteristics may be indicated in addition, such as</w:t>
      </w:r>
    </w:p>
    <w:p>
      <w:pPr>
        <w:spacing w:line="360" w:lineRule="auto"/>
        <w:ind w:firstLine="480"/>
      </w:pPr>
      <w:r>
        <w:rPr>
          <w:rFonts w:ascii="Times New Roman" w:hAnsi="Times New Roman" w:eastAsia="宋体"/>
          <w:b w:val="0"/>
          <w:sz w:val="24"/>
        </w:rPr>
        <w:t>•</w:t>
      </w:r>
    </w:p>
    <w:p>
      <w:pPr>
        <w:spacing w:line="360" w:lineRule="auto"/>
        <w:ind w:firstLine="480"/>
      </w:pPr>
      <w:r>
        <w:rPr>
          <w:rFonts w:ascii="Times New Roman" w:hAnsi="Times New Roman" w:eastAsia="宋体"/>
          <w:b w:val="0"/>
          <w:sz w:val="24"/>
        </w:rPr>
        <w:t>lower explosion limit / minimum explosible concentration</w:t>
      </w:r>
    </w:p>
    <w:p>
      <w:pPr>
        <w:spacing w:line="360" w:lineRule="auto"/>
        <w:ind w:firstLine="480"/>
      </w:pPr>
      <w:r>
        <w:rPr>
          <w:rFonts w:ascii="Times New Roman" w:hAnsi="Times New Roman" w:eastAsia="宋体"/>
          <w:b w:val="0"/>
          <w:sz w:val="24"/>
        </w:rPr>
        <w:t>•</w:t>
      </w:r>
    </w:p>
    <w:p>
      <w:pPr>
        <w:spacing w:line="360" w:lineRule="auto"/>
        <w:ind w:firstLine="480"/>
      </w:pPr>
      <w:r>
        <w:rPr>
          <w:rFonts w:ascii="Times New Roman" w:hAnsi="Times New Roman" w:eastAsia="宋体"/>
          <w:b w:val="0"/>
          <w:sz w:val="24"/>
        </w:rPr>
        <w:t>minimum ignition energy</w:t>
      </w:r>
    </w:p>
    <w:p>
      <w:pPr>
        <w:spacing w:line="360" w:lineRule="auto"/>
        <w:ind w:firstLine="480"/>
      </w:pPr>
      <w:r>
        <w:rPr>
          <w:rFonts w:ascii="Times New Roman" w:hAnsi="Times New Roman" w:eastAsia="宋体"/>
          <w:b w:val="0"/>
          <w:sz w:val="24"/>
        </w:rPr>
        <w:t>•</w:t>
      </w:r>
    </w:p>
    <w:p>
      <w:pPr>
        <w:spacing w:line="360" w:lineRule="auto"/>
        <w:ind w:firstLine="480"/>
      </w:pPr>
      <w:r>
        <w:rPr>
          <w:rFonts w:ascii="Times New Roman" w:hAnsi="Times New Roman" w:eastAsia="宋体"/>
          <w:b w:val="0"/>
          <w:sz w:val="24"/>
        </w:rPr>
        <w:t>deflagration index (Kst)</w:t>
      </w:r>
    </w:p>
    <w:p>
      <w:pPr>
        <w:spacing w:line="360" w:lineRule="auto"/>
        <w:ind w:firstLine="480"/>
      </w:pPr>
      <w:r>
        <w:rPr>
          <w:rFonts w:ascii="Times New Roman" w:hAnsi="Times New Roman" w:eastAsia="宋体"/>
          <w:b w:val="0"/>
          <w:sz w:val="24"/>
        </w:rPr>
        <w:t>•</w:t>
      </w:r>
    </w:p>
    <w:p>
      <w:pPr>
        <w:spacing w:line="360" w:lineRule="auto"/>
        <w:ind w:firstLine="480"/>
      </w:pPr>
      <w:r>
        <w:rPr>
          <w:rFonts w:ascii="Times New Roman" w:hAnsi="Times New Roman" w:eastAsia="宋体"/>
          <w:b w:val="0"/>
          <w:sz w:val="24"/>
        </w:rPr>
        <w:t>maximum explosion pressure</w:t>
      </w:r>
    </w:p>
    <w:p>
      <w:pPr>
        <w:spacing w:line="360" w:lineRule="auto"/>
        <w:ind w:firstLine="480"/>
      </w:pPr>
      <w:r>
        <w:rPr>
          <w:rFonts w:ascii="Times New Roman" w:hAnsi="Times New Roman" w:eastAsia="宋体"/>
          <w:b w:val="0"/>
          <w:sz w:val="24"/>
        </w:rPr>
        <w:t>− indicate the particle characteristics to which the data apply if different from the particle</w:t>
      </w:r>
    </w:p>
    <w:p>
      <w:pPr>
        <w:spacing w:line="360" w:lineRule="auto"/>
        <w:ind w:firstLine="480"/>
      </w:pPr>
      <w:r>
        <w:rPr>
          <w:rFonts w:ascii="Times New Roman" w:hAnsi="Times New Roman" w:eastAsia="宋体"/>
          <w:b w:val="0"/>
          <w:sz w:val="24"/>
        </w:rPr>
        <w:t>characteristics as indicated based on table A4.3.9.1</w:t>
      </w:r>
    </w:p>
    <w:p>
      <w:pPr>
        <w:spacing w:line="360" w:lineRule="auto"/>
        <w:ind w:firstLine="480"/>
      </w:pPr>
      <w:r>
        <w:rPr>
          <w:rFonts w:ascii="Times New Roman" w:hAnsi="Times New Roman" w:eastAsia="宋体"/>
          <w:b w:val="0"/>
          <w:sz w:val="24"/>
        </w:rPr>
        <w:t>NOTE 1: The ability to form explosible dust/air mixtures may be determined e.g. by</w:t>
      </w:r>
    </w:p>
    <w:p>
      <w:pPr>
        <w:spacing w:line="360" w:lineRule="auto"/>
        <w:ind w:firstLine="480"/>
      </w:pPr>
      <w:r>
        <w:rPr>
          <w:rFonts w:ascii="Times New Roman" w:hAnsi="Times New Roman" w:eastAsia="宋体"/>
          <w:b w:val="0"/>
          <w:sz w:val="24"/>
        </w:rPr>
        <w:t>VDI 2263-1 "Dust Fires and Dust Explosions; Hazards - Assessment - Protective</w:t>
      </w:r>
    </w:p>
    <w:p>
      <w:pPr>
        <w:spacing w:line="360" w:lineRule="auto"/>
        <w:ind w:firstLine="480"/>
      </w:pPr>
      <w:r>
        <w:rPr>
          <w:rFonts w:ascii="Times New Roman" w:hAnsi="Times New Roman" w:eastAsia="宋体"/>
          <w:b w:val="0"/>
          <w:sz w:val="24"/>
        </w:rPr>
        <w:t>Measures; Test Methods for the Determination of the Safety Characteristics of Dusts" or</w:t>
      </w:r>
    </w:p>
    <w:p>
      <w:pPr>
        <w:spacing w:line="360" w:lineRule="auto"/>
        <w:ind w:firstLine="480"/>
      </w:pPr>
      <w:r>
        <w:rPr>
          <w:rFonts w:ascii="Times New Roman" w:hAnsi="Times New Roman" w:eastAsia="宋体"/>
          <w:b w:val="0"/>
          <w:sz w:val="24"/>
        </w:rPr>
        <w:t>by ISO/IEC 80079-20-2 "Explosive atmospheres - Part 20-2: Material characteristics -</w:t>
      </w:r>
    </w:p>
    <w:p>
      <w:pPr>
        <w:spacing w:line="360" w:lineRule="auto"/>
        <w:ind w:firstLine="480"/>
      </w:pPr>
      <w:r>
        <w:rPr>
          <w:rFonts w:ascii="Times New Roman" w:hAnsi="Times New Roman" w:eastAsia="宋体"/>
          <w:b w:val="0"/>
          <w:sz w:val="24"/>
        </w:rPr>
        <w:t>Combustible dusts test methods" (in preparation).</w:t>
      </w:r>
    </w:p>
    <w:p>
      <w:pPr>
        <w:spacing w:line="360" w:lineRule="auto"/>
        <w:ind w:firstLine="480"/>
      </w:pPr>
      <w:r>
        <w:rPr>
          <w:rFonts w:ascii="Times New Roman" w:hAnsi="Times New Roman" w:eastAsia="宋体"/>
          <w:b w:val="0"/>
          <w:sz w:val="24"/>
        </w:rPr>
        <w:t>NOTE 2: Explosion characteristics are specific for the tested dust. Normally they cannot</w:t>
      </w:r>
    </w:p>
    <w:p>
      <w:pPr>
        <w:spacing w:line="360" w:lineRule="auto"/>
        <w:ind w:firstLine="480"/>
      </w:pPr>
      <w:r>
        <w:rPr>
          <w:rFonts w:ascii="Times New Roman" w:hAnsi="Times New Roman" w:eastAsia="宋体"/>
          <w:b w:val="0"/>
          <w:sz w:val="24"/>
        </w:rPr>
        <w:t>be transferred to other dusts even if these are comparable. Fine-sized dusts of a particular</w:t>
      </w:r>
    </w:p>
    <w:p>
      <w:pPr>
        <w:spacing w:line="360" w:lineRule="auto"/>
        <w:ind w:firstLine="480"/>
      </w:pPr>
      <w:r>
        <w:rPr>
          <w:rFonts w:ascii="Times New Roman" w:hAnsi="Times New Roman" w:eastAsia="宋体"/>
          <w:b w:val="0"/>
          <w:sz w:val="24"/>
        </w:rPr>
        <w:t>substance tend to react stronger than coarser dusts.</w:t>
      </w:r>
    </w:p>
    <w:p>
      <w:pPr>
        <w:spacing w:line="360" w:lineRule="auto"/>
        <w:ind w:firstLine="480"/>
      </w:pPr>
      <w:r>
        <w:rPr>
          <w:rFonts w:ascii="Times New Roman" w:hAnsi="Times New Roman" w:eastAsia="宋体"/>
          <w:b w:val="0"/>
          <w:sz w:val="24"/>
        </w:rPr>
        <w:t>Acid/alkaline reserve</w:t>
      </w:r>
    </w:p>
    <w:p>
      <w:pPr>
        <w:spacing w:line="360" w:lineRule="auto"/>
        <w:ind w:firstLine="480"/>
      </w:pPr>
      <w:r>
        <w:rPr>
          <w:rFonts w:ascii="Times New Roman" w:hAnsi="Times New Roman" w:eastAsia="宋体"/>
          <w:b w:val="0"/>
          <w:sz w:val="24"/>
        </w:rPr>
        <w:t>− applicable to substances and mixtures which have an extreme pH (pH ≤ 2 or ≥ 11.5)</w:t>
      </w:r>
    </w:p>
    <w:p>
      <w:pPr>
        <w:spacing w:line="360" w:lineRule="auto"/>
        <w:ind w:firstLine="480"/>
      </w:pPr>
      <w:r>
        <w:rPr>
          <w:rFonts w:ascii="Times New Roman" w:hAnsi="Times New Roman" w:eastAsia="宋体"/>
          <w:b w:val="0"/>
          <w:sz w:val="24"/>
        </w:rPr>
        <w:t>− indicate acid/alkaline reserve when used for evaluating skin and eye hazards</w:t>
      </w:r>
    </w:p>
    <w:p>
      <w:pPr>
        <w:spacing w:line="360" w:lineRule="auto"/>
        <w:ind w:firstLine="480"/>
      </w:pPr>
      <w:r>
        <w:rPr>
          <w:rFonts w:ascii="Times New Roman" w:hAnsi="Times New Roman" w:eastAsia="宋体"/>
          <w:b w:val="0"/>
          <w:sz w:val="24"/>
        </w:rPr>
        <w:t>- 425 -</w:t>
      </w:r>
    </w:p>
    <w:p>
      <w:pPr>
        <w:spacing w:line="360" w:lineRule="auto"/>
        <w:ind w:firstLine="480"/>
      </w:pPr>
      <w:r>
        <w:rPr>
          <w:rFonts w:ascii="Times New Roman" w:hAnsi="Times New Roman" w:eastAsia="宋体"/>
          <w:b w:val="0"/>
          <w:sz w:val="24"/>
        </w:rPr>
        <w:t>A4.3.10</w:t>
      </w:r>
    </w:p>
    <w:p>
      <w:pPr>
        <w:spacing w:line="360" w:lineRule="auto"/>
        <w:ind w:firstLine="480"/>
      </w:pPr>
      <w:r>
        <w:rPr>
          <w:rFonts w:ascii="Times New Roman" w:hAnsi="Times New Roman" w:eastAsia="宋体"/>
          <w:b w:val="0"/>
          <w:sz w:val="24"/>
        </w:rPr>
        <w:t>SECTION 10: Stability and reactivity</w:t>
      </w:r>
    </w:p>
    <w:p>
      <w:pPr>
        <w:spacing w:line="360" w:lineRule="auto"/>
        <w:ind w:firstLine="480"/>
      </w:pPr>
      <w:r>
        <w:rPr>
          <w:rFonts w:ascii="Times New Roman" w:hAnsi="Times New Roman" w:eastAsia="宋体"/>
          <w:b w:val="0"/>
          <w:sz w:val="24"/>
        </w:rPr>
        <w:t>A4.3.10.1</w:t>
      </w:r>
    </w:p>
    <w:p>
      <w:pPr>
        <w:spacing w:line="360" w:lineRule="auto"/>
        <w:ind w:firstLine="480"/>
      </w:pPr>
      <w:r>
        <w:rPr>
          <w:rFonts w:ascii="Times New Roman" w:hAnsi="Times New Roman" w:eastAsia="宋体"/>
          <w:b w:val="0"/>
          <w:sz w:val="24"/>
        </w:rPr>
        <w:t>Reactivity</w:t>
      </w:r>
    </w:p>
    <w:p>
      <w:pPr>
        <w:spacing w:line="360" w:lineRule="auto"/>
        <w:ind w:firstLine="480"/>
      </w:pPr>
      <w:r>
        <w:rPr>
          <w:rFonts w:ascii="Times New Roman" w:hAnsi="Times New Roman" w:eastAsia="宋体"/>
          <w:b w:val="0"/>
          <w:sz w:val="24"/>
        </w:rPr>
        <w:t>A4.3.10.1.1</w:t>
      </w:r>
    </w:p>
    <w:p>
      <w:pPr>
        <w:spacing w:line="360" w:lineRule="auto"/>
        <w:ind w:firstLine="480"/>
      </w:pPr>
      <w:r>
        <w:rPr>
          <w:rFonts w:ascii="Times New Roman" w:hAnsi="Times New Roman" w:eastAsia="宋体"/>
          <w:b w:val="0"/>
          <w:sz w:val="24"/>
        </w:rPr>
        <w:t>Describe the reactivity hazards of the substance or mixture in this section. Provide specific test data for</w:t>
      </w:r>
    </w:p>
    <w:p>
      <w:pPr>
        <w:spacing w:line="360" w:lineRule="auto"/>
        <w:ind w:firstLine="480"/>
      </w:pPr>
      <w:r>
        <w:rPr>
          <w:rFonts w:ascii="Times New Roman" w:hAnsi="Times New Roman" w:eastAsia="宋体"/>
          <w:b w:val="0"/>
          <w:sz w:val="24"/>
        </w:rPr>
        <w:t>the substance or mixture as a whole, where available. However, the information may also be based on general data for</w:t>
      </w:r>
    </w:p>
    <w:p>
      <w:pPr>
        <w:spacing w:line="360" w:lineRule="auto"/>
        <w:ind w:firstLine="480"/>
      </w:pPr>
      <w:r>
        <w:rPr>
          <w:rFonts w:ascii="Times New Roman" w:hAnsi="Times New Roman" w:eastAsia="宋体"/>
          <w:b w:val="0"/>
          <w:sz w:val="24"/>
        </w:rPr>
        <w:t>the class or family of chemical if such data adequately represent the anticipated hazard of the substance or mixture.</w:t>
      </w:r>
    </w:p>
    <w:p>
      <w:pPr>
        <w:spacing w:line="360" w:lineRule="auto"/>
        <w:ind w:firstLine="480"/>
      </w:pPr>
      <w:r>
        <w:rPr>
          <w:rFonts w:ascii="Times New Roman" w:hAnsi="Times New Roman" w:eastAsia="宋体"/>
          <w:b w:val="0"/>
          <w:sz w:val="24"/>
        </w:rPr>
        <w:t>A4.3.10.1.2</w:t>
      </w:r>
    </w:p>
    <w:p>
      <w:pPr>
        <w:spacing w:line="360" w:lineRule="auto"/>
        <w:ind w:firstLine="480"/>
      </w:pPr>
      <w:r>
        <w:rPr>
          <w:rFonts w:ascii="Times New Roman" w:hAnsi="Times New Roman" w:eastAsia="宋体"/>
          <w:b w:val="0"/>
          <w:sz w:val="24"/>
        </w:rPr>
        <w:t>If data for mixtures are not available, ingredient data should be provided. In determining</w:t>
      </w:r>
    </w:p>
    <w:p>
      <w:pPr>
        <w:spacing w:line="360" w:lineRule="auto"/>
        <w:ind w:firstLine="480"/>
      </w:pPr>
      <w:r>
        <w:rPr>
          <w:rFonts w:ascii="Times New Roman" w:hAnsi="Times New Roman" w:eastAsia="宋体"/>
          <w:b w:val="0"/>
          <w:sz w:val="24"/>
        </w:rPr>
        <w:t>incompatibility, consider the substances, containers and contaminants that the substance or mixture might be exposed to</w:t>
      </w:r>
    </w:p>
    <w:p>
      <w:pPr>
        <w:spacing w:line="360" w:lineRule="auto"/>
        <w:ind w:firstLine="480"/>
      </w:pPr>
      <w:r>
        <w:rPr>
          <w:rFonts w:ascii="Times New Roman" w:hAnsi="Times New Roman" w:eastAsia="宋体"/>
          <w:b w:val="0"/>
          <w:sz w:val="24"/>
        </w:rPr>
        <w:t>during transportation, storage and use.</w:t>
      </w:r>
    </w:p>
    <w:p>
      <w:pPr>
        <w:spacing w:line="360" w:lineRule="auto"/>
        <w:ind w:firstLine="480"/>
      </w:pPr>
      <w:r>
        <w:rPr>
          <w:rFonts w:ascii="Times New Roman" w:hAnsi="Times New Roman" w:eastAsia="宋体"/>
          <w:b w:val="0"/>
          <w:sz w:val="24"/>
        </w:rPr>
        <w:t>A4.3.10.2</w:t>
      </w:r>
    </w:p>
    <w:p>
      <w:pPr>
        <w:spacing w:line="360" w:lineRule="auto"/>
        <w:ind w:firstLine="480"/>
      </w:pPr>
      <w:r>
        <w:rPr>
          <w:rFonts w:ascii="Times New Roman" w:hAnsi="Times New Roman" w:eastAsia="宋体"/>
          <w:b w:val="0"/>
          <w:sz w:val="24"/>
        </w:rPr>
        <w:t>Chemical stability</w:t>
      </w:r>
    </w:p>
    <w:p>
      <w:pPr>
        <w:spacing w:line="360" w:lineRule="auto"/>
        <w:ind w:firstLine="480"/>
      </w:pPr>
      <w:r>
        <w:rPr>
          <w:rFonts w:ascii="Times New Roman" w:hAnsi="Times New Roman" w:eastAsia="宋体"/>
          <w:b w:val="0"/>
          <w:sz w:val="24"/>
        </w:rPr>
        <w:t>Indicate if the substance or mixture is stable or unstable under normal ambient and anticipated storage</w:t>
      </w:r>
    </w:p>
    <w:p>
      <w:pPr>
        <w:spacing w:line="360" w:lineRule="auto"/>
        <w:ind w:firstLine="480"/>
      </w:pPr>
      <w:r>
        <w:rPr>
          <w:rFonts w:ascii="Times New Roman" w:hAnsi="Times New Roman" w:eastAsia="宋体"/>
          <w:b w:val="0"/>
          <w:sz w:val="24"/>
        </w:rPr>
        <w:t>and handling conditions of temperature and pressure. Describe any stabilizers which are, or may need to be, used to</w:t>
      </w:r>
    </w:p>
    <w:p>
      <w:pPr>
        <w:spacing w:line="360" w:lineRule="auto"/>
        <w:ind w:firstLine="480"/>
      </w:pPr>
      <w:r>
        <w:rPr>
          <w:rFonts w:ascii="Times New Roman" w:hAnsi="Times New Roman" w:eastAsia="宋体"/>
          <w:b w:val="0"/>
          <w:sz w:val="24"/>
        </w:rPr>
        <w:t>maintain the product. Indicate the safety significance of any change in the physical appearance of the product.</w:t>
      </w:r>
    </w:p>
    <w:p>
      <w:pPr>
        <w:spacing w:line="360" w:lineRule="auto"/>
        <w:ind w:firstLine="480"/>
      </w:pPr>
      <w:r>
        <w:rPr>
          <w:rFonts w:ascii="Times New Roman" w:hAnsi="Times New Roman" w:eastAsia="宋体"/>
          <w:b w:val="0"/>
          <w:sz w:val="24"/>
        </w:rPr>
        <w:t>A4.3.10.3</w:t>
      </w:r>
    </w:p>
    <w:p>
      <w:pPr>
        <w:spacing w:line="360" w:lineRule="auto"/>
        <w:ind w:firstLine="480"/>
      </w:pPr>
      <w:r>
        <w:rPr>
          <w:rFonts w:ascii="Times New Roman" w:hAnsi="Times New Roman" w:eastAsia="宋体"/>
          <w:b w:val="0"/>
          <w:sz w:val="24"/>
        </w:rPr>
        <w:t>Possibility of hazardous reactions</w:t>
      </w:r>
    </w:p>
    <w:p>
      <w:pPr>
        <w:spacing w:line="360" w:lineRule="auto"/>
        <w:ind w:firstLine="480"/>
      </w:pPr>
      <w:r>
        <w:rPr>
          <w:rFonts w:ascii="Times New Roman" w:hAnsi="Times New Roman" w:eastAsia="宋体"/>
          <w:b w:val="0"/>
          <w:sz w:val="24"/>
        </w:rPr>
        <w:t>If relevant, state if the substance or mixture will react or polymerize, releasing excess pressure or heat,</w:t>
      </w:r>
    </w:p>
    <w:p>
      <w:pPr>
        <w:spacing w:line="360" w:lineRule="auto"/>
        <w:ind w:firstLine="480"/>
      </w:pPr>
      <w:r>
        <w:rPr>
          <w:rFonts w:ascii="Times New Roman" w:hAnsi="Times New Roman" w:eastAsia="宋体"/>
          <w:b w:val="0"/>
          <w:sz w:val="24"/>
        </w:rPr>
        <w:t>or creating other hazardous conditions. Describe under what conditions the hazardous reactions may occur.</w:t>
      </w:r>
    </w:p>
    <w:p>
      <w:pPr>
        <w:spacing w:line="360" w:lineRule="auto"/>
        <w:ind w:firstLine="480"/>
      </w:pPr>
      <w:r>
        <w:rPr>
          <w:rFonts w:ascii="Times New Roman" w:hAnsi="Times New Roman" w:eastAsia="宋体"/>
          <w:b w:val="0"/>
          <w:sz w:val="24"/>
        </w:rPr>
        <w:t>A4.3.10.4</w:t>
      </w:r>
    </w:p>
    <w:p>
      <w:pPr>
        <w:spacing w:line="360" w:lineRule="auto"/>
        <w:ind w:firstLine="480"/>
      </w:pPr>
      <w:r>
        <w:rPr>
          <w:rFonts w:ascii="Times New Roman" w:hAnsi="Times New Roman" w:eastAsia="宋体"/>
          <w:b w:val="0"/>
          <w:sz w:val="24"/>
        </w:rPr>
        <w:t>Conditions to avoid</w:t>
      </w:r>
    </w:p>
    <w:p>
      <w:pPr>
        <w:spacing w:line="360" w:lineRule="auto"/>
        <w:ind w:firstLine="480"/>
      </w:pPr>
      <w:r>
        <w:rPr>
          <w:rFonts w:ascii="Times New Roman" w:hAnsi="Times New Roman" w:eastAsia="宋体"/>
          <w:b w:val="0"/>
          <w:sz w:val="24"/>
        </w:rPr>
        <w:t>List conditions such as heat, pressure, shock, static discharge, vibrations or other physical stresses that</w:t>
      </w:r>
    </w:p>
    <w:p>
      <w:pPr>
        <w:spacing w:line="360" w:lineRule="auto"/>
        <w:ind w:firstLine="480"/>
      </w:pPr>
      <w:r>
        <w:rPr>
          <w:rFonts w:ascii="Times New Roman" w:hAnsi="Times New Roman" w:eastAsia="宋体"/>
          <w:b w:val="0"/>
          <w:sz w:val="24"/>
        </w:rPr>
        <w:t>might result in a hazardous situation.</w:t>
      </w:r>
    </w:p>
    <w:p>
      <w:pPr>
        <w:spacing w:line="360" w:lineRule="auto"/>
        <w:ind w:firstLine="480"/>
      </w:pPr>
      <w:r>
        <w:rPr>
          <w:rFonts w:ascii="Times New Roman" w:hAnsi="Times New Roman" w:eastAsia="宋体"/>
          <w:b w:val="0"/>
          <w:sz w:val="24"/>
        </w:rPr>
        <w:t>A4.3.10.5</w:t>
      </w:r>
    </w:p>
    <w:p>
      <w:pPr>
        <w:spacing w:line="360" w:lineRule="auto"/>
        <w:ind w:firstLine="480"/>
      </w:pPr>
      <w:r>
        <w:rPr>
          <w:rFonts w:ascii="Times New Roman" w:hAnsi="Times New Roman" w:eastAsia="宋体"/>
          <w:b w:val="0"/>
          <w:sz w:val="24"/>
        </w:rPr>
        <w:t>Incompatible materials</w:t>
      </w:r>
    </w:p>
    <w:p>
      <w:pPr>
        <w:spacing w:line="360" w:lineRule="auto"/>
        <w:ind w:firstLine="480"/>
      </w:pPr>
      <w:r>
        <w:rPr>
          <w:rFonts w:ascii="Times New Roman" w:hAnsi="Times New Roman" w:eastAsia="宋体"/>
          <w:b w:val="0"/>
          <w:sz w:val="24"/>
        </w:rPr>
        <w:t>List classes of chemicals or specific substances with which the substance or mixture could react to</w:t>
      </w:r>
    </w:p>
    <w:p>
      <w:pPr>
        <w:spacing w:line="360" w:lineRule="auto"/>
        <w:ind w:firstLine="480"/>
      </w:pPr>
      <w:r>
        <w:rPr>
          <w:rFonts w:ascii="Times New Roman" w:hAnsi="Times New Roman" w:eastAsia="宋体"/>
          <w:b w:val="0"/>
          <w:sz w:val="24"/>
        </w:rPr>
        <w:t>produce a hazardous situation (e.g. explosion, release of toxic or flammable materials, liberation of excessive heat).</w:t>
      </w:r>
    </w:p>
    <w:p>
      <w:pPr>
        <w:spacing w:line="360" w:lineRule="auto"/>
        <w:ind w:firstLine="480"/>
      </w:pPr>
      <w:r>
        <w:rPr>
          <w:rFonts w:ascii="Times New Roman" w:hAnsi="Times New Roman" w:eastAsia="宋体"/>
          <w:b w:val="0"/>
          <w:sz w:val="24"/>
        </w:rPr>
        <w:t>A4.3.10.6</w:t>
      </w:r>
    </w:p>
    <w:p>
      <w:pPr>
        <w:spacing w:line="360" w:lineRule="auto"/>
        <w:ind w:firstLine="480"/>
      </w:pPr>
      <w:r>
        <w:rPr>
          <w:rFonts w:ascii="Times New Roman" w:hAnsi="Times New Roman" w:eastAsia="宋体"/>
          <w:b w:val="0"/>
          <w:sz w:val="24"/>
        </w:rPr>
        <w:t>Hazardous decomposition products</w:t>
      </w:r>
    </w:p>
    <w:p>
      <w:pPr>
        <w:spacing w:line="360" w:lineRule="auto"/>
        <w:ind w:firstLine="480"/>
      </w:pPr>
      <w:r>
        <w:rPr>
          <w:rFonts w:ascii="Times New Roman" w:hAnsi="Times New Roman" w:eastAsia="宋体"/>
          <w:b w:val="0"/>
          <w:sz w:val="24"/>
        </w:rPr>
        <w:t>List known and reasonably anticipated hazardous decomposition products produced as a result of use,</w:t>
      </w:r>
    </w:p>
    <w:p>
      <w:pPr>
        <w:spacing w:line="360" w:lineRule="auto"/>
        <w:ind w:firstLine="480"/>
      </w:pPr>
      <w:r>
        <w:rPr>
          <w:rFonts w:ascii="Times New Roman" w:hAnsi="Times New Roman" w:eastAsia="宋体"/>
          <w:b w:val="0"/>
          <w:sz w:val="24"/>
        </w:rPr>
        <w:t>storage and heating. Hazardous combustion products should be included in section 5 (Fire-fighting measures) of the SDS.</w:t>
      </w:r>
    </w:p>
    <w:p>
      <w:pPr>
        <w:spacing w:line="360" w:lineRule="auto"/>
        <w:ind w:firstLine="480"/>
      </w:pPr>
      <w:r>
        <w:rPr>
          <w:rFonts w:ascii="Times New Roman" w:hAnsi="Times New Roman" w:eastAsia="宋体"/>
          <w:b w:val="0"/>
          <w:sz w:val="24"/>
        </w:rPr>
        <w:t>A4.3.11</w:t>
      </w:r>
    </w:p>
    <w:p>
      <w:pPr>
        <w:spacing w:line="360" w:lineRule="auto"/>
        <w:ind w:firstLine="480"/>
      </w:pPr>
      <w:r>
        <w:rPr>
          <w:rFonts w:ascii="Times New Roman" w:hAnsi="Times New Roman" w:eastAsia="宋体"/>
          <w:b w:val="0"/>
          <w:sz w:val="24"/>
        </w:rPr>
        <w:t>SECTION 11: Toxicological information</w:t>
      </w:r>
    </w:p>
    <w:p>
      <w:pPr>
        <w:spacing w:line="360" w:lineRule="auto"/>
        <w:ind w:firstLine="480"/>
      </w:pPr>
      <w:r>
        <w:rPr>
          <w:rFonts w:ascii="Times New Roman" w:hAnsi="Times New Roman" w:eastAsia="宋体"/>
          <w:b w:val="0"/>
          <w:sz w:val="24"/>
        </w:rPr>
        <w:t>A4.3.11.1</w:t>
      </w:r>
    </w:p>
    <w:p>
      <w:pPr>
        <w:spacing w:line="360" w:lineRule="auto"/>
        <w:ind w:firstLine="480"/>
      </w:pPr>
      <w:r>
        <w:rPr>
          <w:rFonts w:ascii="Times New Roman" w:hAnsi="Times New Roman" w:eastAsia="宋体"/>
          <w:b w:val="0"/>
          <w:sz w:val="24"/>
        </w:rPr>
        <w:t>This section is used primarily by medical professionals, occupational health and safety professionals</w:t>
      </w:r>
    </w:p>
    <w:p>
      <w:pPr>
        <w:spacing w:line="360" w:lineRule="auto"/>
        <w:ind w:firstLine="480"/>
      </w:pPr>
      <w:r>
        <w:rPr>
          <w:rFonts w:ascii="Times New Roman" w:hAnsi="Times New Roman" w:eastAsia="宋体"/>
          <w:b w:val="0"/>
          <w:sz w:val="24"/>
        </w:rPr>
        <w:t>and toxicologists. A concise but complete and comprehensible description of the various toxicological (health) effects,</w:t>
      </w:r>
    </w:p>
    <w:p>
      <w:pPr>
        <w:spacing w:line="360" w:lineRule="auto"/>
        <w:ind w:firstLine="480"/>
      </w:pPr>
      <w:r>
        <w:rPr>
          <w:rFonts w:ascii="Times New Roman" w:hAnsi="Times New Roman" w:eastAsia="宋体"/>
          <w:b w:val="0"/>
          <w:sz w:val="24"/>
        </w:rPr>
        <w:t>and the available data used to identify those effects, should be provided. Under GHS classification, the relevant hazards,</w:t>
      </w:r>
    </w:p>
    <w:p>
      <w:pPr>
        <w:spacing w:line="360" w:lineRule="auto"/>
        <w:ind w:firstLine="480"/>
      </w:pPr>
      <w:r>
        <w:rPr>
          <w:rFonts w:ascii="Times New Roman" w:hAnsi="Times New Roman" w:eastAsia="宋体"/>
          <w:b w:val="0"/>
          <w:sz w:val="24"/>
        </w:rPr>
        <w:t>for which data should be provided, are:</w:t>
      </w:r>
    </w:p>
    <w:p>
      <w:pPr>
        <w:spacing w:line="360" w:lineRule="auto"/>
        <w:ind w:firstLine="480"/>
      </w:pPr>
      <w:r>
        <w:rPr>
          <w:rFonts w:ascii="Times New Roman" w:hAnsi="Times New Roman" w:eastAsia="宋体"/>
          <w:b w:val="0"/>
          <w:sz w:val="24"/>
        </w:rPr>
        <w:t>(a)</w:t>
      </w:r>
    </w:p>
    <w:p>
      <w:pPr>
        <w:spacing w:line="360" w:lineRule="auto"/>
        <w:ind w:firstLine="480"/>
      </w:pPr>
      <w:r>
        <w:rPr>
          <w:rFonts w:ascii="Times New Roman" w:hAnsi="Times New Roman" w:eastAsia="宋体"/>
          <w:b w:val="0"/>
          <w:sz w:val="24"/>
        </w:rPr>
        <w:t>acute toxicity;</w:t>
      </w:r>
    </w:p>
    <w:p>
      <w:pPr>
        <w:spacing w:line="360" w:lineRule="auto"/>
        <w:ind w:firstLine="480"/>
      </w:pPr>
      <w:r>
        <w:rPr>
          <w:rFonts w:ascii="Times New Roman" w:hAnsi="Times New Roman" w:eastAsia="宋体"/>
          <w:b w:val="0"/>
          <w:sz w:val="24"/>
        </w:rPr>
        <w:t>(b)</w:t>
      </w:r>
    </w:p>
    <w:p>
      <w:pPr>
        <w:spacing w:line="360" w:lineRule="auto"/>
        <w:ind w:firstLine="480"/>
      </w:pPr>
      <w:r>
        <w:rPr>
          <w:rFonts w:ascii="Times New Roman" w:hAnsi="Times New Roman" w:eastAsia="宋体"/>
          <w:b w:val="0"/>
          <w:sz w:val="24"/>
        </w:rPr>
        <w:t>skin corrosion/irritation;</w:t>
      </w:r>
    </w:p>
    <w:p>
      <w:pPr>
        <w:spacing w:line="360" w:lineRule="auto"/>
        <w:ind w:firstLine="480"/>
      </w:pPr>
      <w:r>
        <w:rPr>
          <w:rFonts w:ascii="Times New Roman" w:hAnsi="Times New Roman" w:eastAsia="宋体"/>
          <w:b w:val="0"/>
          <w:sz w:val="24"/>
        </w:rPr>
        <w:t>(c)</w:t>
      </w:r>
    </w:p>
    <w:p>
      <w:pPr>
        <w:spacing w:line="360" w:lineRule="auto"/>
        <w:ind w:firstLine="480"/>
      </w:pPr>
      <w:r>
        <w:rPr>
          <w:rFonts w:ascii="Times New Roman" w:hAnsi="Times New Roman" w:eastAsia="宋体"/>
          <w:b w:val="0"/>
          <w:sz w:val="24"/>
        </w:rPr>
        <w:t>serious eye damage/irritation;</w:t>
      </w:r>
    </w:p>
    <w:p>
      <w:pPr>
        <w:spacing w:line="360" w:lineRule="auto"/>
        <w:ind w:firstLine="480"/>
      </w:pPr>
      <w:r>
        <w:rPr>
          <w:rFonts w:ascii="Times New Roman" w:hAnsi="Times New Roman" w:eastAsia="宋体"/>
          <w:b w:val="0"/>
          <w:sz w:val="24"/>
        </w:rPr>
        <w:t>(d)</w:t>
      </w:r>
    </w:p>
    <w:p>
      <w:pPr>
        <w:spacing w:line="360" w:lineRule="auto"/>
        <w:ind w:firstLine="480"/>
      </w:pPr>
      <w:r>
        <w:rPr>
          <w:rFonts w:ascii="Times New Roman" w:hAnsi="Times New Roman" w:eastAsia="宋体"/>
          <w:b w:val="0"/>
          <w:sz w:val="24"/>
        </w:rPr>
        <w:t>respiratory or skin sensitization;</w:t>
      </w:r>
    </w:p>
    <w:p>
      <w:pPr>
        <w:spacing w:line="360" w:lineRule="auto"/>
        <w:ind w:firstLine="480"/>
      </w:pPr>
      <w:r>
        <w:rPr>
          <w:rFonts w:ascii="Times New Roman" w:hAnsi="Times New Roman" w:eastAsia="宋体"/>
          <w:b w:val="0"/>
          <w:sz w:val="24"/>
        </w:rPr>
        <w:t>(e)</w:t>
      </w:r>
    </w:p>
    <w:p>
      <w:pPr>
        <w:spacing w:line="360" w:lineRule="auto"/>
        <w:ind w:firstLine="480"/>
      </w:pPr>
      <w:r>
        <w:rPr>
          <w:rFonts w:ascii="Times New Roman" w:hAnsi="Times New Roman" w:eastAsia="宋体"/>
          <w:b w:val="0"/>
          <w:sz w:val="24"/>
        </w:rPr>
        <w:t>germ cell mutagenicity;</w:t>
      </w:r>
    </w:p>
    <w:p>
      <w:pPr>
        <w:spacing w:line="360" w:lineRule="auto"/>
        <w:ind w:firstLine="480"/>
      </w:pPr>
      <w:r>
        <w:rPr>
          <w:rFonts w:ascii="Times New Roman" w:hAnsi="Times New Roman" w:eastAsia="宋体"/>
          <w:b w:val="0"/>
          <w:sz w:val="24"/>
        </w:rPr>
        <w:t>(f)</w:t>
      </w:r>
    </w:p>
    <w:p>
      <w:pPr>
        <w:spacing w:line="360" w:lineRule="auto"/>
        <w:ind w:firstLine="480"/>
      </w:pPr>
      <w:r>
        <w:rPr>
          <w:rFonts w:ascii="Times New Roman" w:hAnsi="Times New Roman" w:eastAsia="宋体"/>
          <w:b w:val="0"/>
          <w:sz w:val="24"/>
        </w:rPr>
        <w:t>carcinogenicity;</w:t>
      </w:r>
    </w:p>
    <w:p>
      <w:pPr>
        <w:spacing w:line="360" w:lineRule="auto"/>
        <w:ind w:firstLine="480"/>
      </w:pPr>
      <w:r>
        <w:rPr>
          <w:rFonts w:ascii="Times New Roman" w:hAnsi="Times New Roman" w:eastAsia="宋体"/>
          <w:b w:val="0"/>
          <w:sz w:val="24"/>
        </w:rPr>
        <w:t>(g)</w:t>
      </w:r>
    </w:p>
    <w:p>
      <w:pPr>
        <w:spacing w:line="360" w:lineRule="auto"/>
        <w:ind w:firstLine="480"/>
      </w:pPr>
      <w:r>
        <w:rPr>
          <w:rFonts w:ascii="Times New Roman" w:hAnsi="Times New Roman" w:eastAsia="宋体"/>
          <w:b w:val="0"/>
          <w:sz w:val="24"/>
        </w:rPr>
        <w:t>reproductive toxicity;</w:t>
      </w:r>
    </w:p>
    <w:p>
      <w:pPr>
        <w:spacing w:line="360" w:lineRule="auto"/>
        <w:ind w:firstLine="480"/>
      </w:pPr>
      <w:r>
        <w:rPr>
          <w:rFonts w:ascii="Times New Roman" w:hAnsi="Times New Roman" w:eastAsia="宋体"/>
          <w:b w:val="0"/>
          <w:sz w:val="24"/>
        </w:rPr>
        <w:t>(h)</w:t>
      </w:r>
    </w:p>
    <w:p>
      <w:pPr>
        <w:spacing w:line="360" w:lineRule="auto"/>
        <w:ind w:firstLine="480"/>
      </w:pPr>
      <w:r>
        <w:rPr>
          <w:rFonts w:ascii="Times New Roman" w:hAnsi="Times New Roman" w:eastAsia="宋体"/>
          <w:b w:val="0"/>
          <w:sz w:val="24"/>
        </w:rPr>
        <w:t>STOT-single exposure;</w:t>
      </w:r>
    </w:p>
    <w:p>
      <w:pPr>
        <w:spacing w:line="360" w:lineRule="auto"/>
        <w:ind w:firstLine="480"/>
      </w:pPr>
      <w:r>
        <w:rPr>
          <w:rFonts w:ascii="Times New Roman" w:hAnsi="Times New Roman" w:eastAsia="宋体"/>
          <w:b w:val="0"/>
          <w:sz w:val="24"/>
        </w:rPr>
        <w:t>- 426 -</w:t>
      </w:r>
    </w:p>
    <w:p>
      <w:pPr>
        <w:spacing w:line="360" w:lineRule="auto"/>
        <w:ind w:firstLine="480"/>
      </w:pPr>
      <w:r>
        <w:rPr>
          <w:rFonts w:ascii="Times New Roman" w:hAnsi="Times New Roman" w:eastAsia="宋体"/>
          <w:b w:val="0"/>
          <w:sz w:val="24"/>
        </w:rPr>
        <w:t>(i)</w:t>
      </w:r>
    </w:p>
    <w:p>
      <w:pPr>
        <w:spacing w:line="360" w:lineRule="auto"/>
        <w:ind w:firstLine="480"/>
      </w:pPr>
      <w:r>
        <w:rPr>
          <w:rFonts w:ascii="Times New Roman" w:hAnsi="Times New Roman" w:eastAsia="宋体"/>
          <w:b w:val="0"/>
          <w:sz w:val="24"/>
        </w:rPr>
        <w:t>STOT-repeated exposure; and</w:t>
      </w:r>
    </w:p>
    <w:p>
      <w:pPr>
        <w:spacing w:line="360" w:lineRule="auto"/>
        <w:ind w:firstLine="480"/>
      </w:pPr>
      <w:r>
        <w:rPr>
          <w:rFonts w:ascii="Times New Roman" w:hAnsi="Times New Roman" w:eastAsia="宋体"/>
          <w:b w:val="0"/>
          <w:sz w:val="24"/>
        </w:rPr>
        <w:t>(j)</w:t>
      </w:r>
    </w:p>
    <w:p>
      <w:pPr>
        <w:spacing w:line="360" w:lineRule="auto"/>
        <w:ind w:firstLine="480"/>
      </w:pPr>
      <w:r>
        <w:rPr>
          <w:rFonts w:ascii="Times New Roman" w:hAnsi="Times New Roman" w:eastAsia="宋体"/>
          <w:b w:val="0"/>
          <w:sz w:val="24"/>
        </w:rPr>
        <w:t>aspiration hazard.</w:t>
      </w:r>
    </w:p>
    <w:p>
      <w:pPr>
        <w:spacing w:line="360" w:lineRule="auto"/>
        <w:ind w:firstLine="480"/>
      </w:pPr>
      <w:r>
        <w:rPr>
          <w:rFonts w:ascii="Times New Roman" w:hAnsi="Times New Roman" w:eastAsia="宋体"/>
          <w:b w:val="0"/>
          <w:sz w:val="24"/>
        </w:rPr>
        <w:t>These hazards should always be listed on the SDS.</w:t>
      </w:r>
    </w:p>
    <w:p>
      <w:pPr>
        <w:spacing w:line="360" w:lineRule="auto"/>
        <w:ind w:firstLine="480"/>
      </w:pPr>
      <w:r>
        <w:rPr>
          <w:rFonts w:ascii="Times New Roman" w:hAnsi="Times New Roman" w:eastAsia="宋体"/>
          <w:b w:val="0"/>
          <w:sz w:val="24"/>
        </w:rPr>
        <w:t>A4.3.11.2</w:t>
      </w:r>
    </w:p>
    <w:p>
      <w:pPr>
        <w:spacing w:line="360" w:lineRule="auto"/>
        <w:ind w:firstLine="480"/>
      </w:pPr>
      <w:r>
        <w:rPr>
          <w:rFonts w:ascii="Times New Roman" w:hAnsi="Times New Roman" w:eastAsia="宋体"/>
          <w:b w:val="0"/>
          <w:sz w:val="24"/>
        </w:rPr>
        <w:t>The health effects included in the SDS should be consistent with those described in the studies used for</w:t>
      </w:r>
    </w:p>
    <w:p>
      <w:pPr>
        <w:spacing w:line="360" w:lineRule="auto"/>
        <w:ind w:firstLine="480"/>
      </w:pPr>
      <w:r>
        <w:rPr>
          <w:rFonts w:ascii="Times New Roman" w:hAnsi="Times New Roman" w:eastAsia="宋体"/>
          <w:b w:val="0"/>
          <w:sz w:val="24"/>
        </w:rPr>
        <w:t>the classification of the substance or mixture.</w:t>
      </w:r>
    </w:p>
    <w:p>
      <w:pPr>
        <w:spacing w:line="360" w:lineRule="auto"/>
        <w:ind w:firstLine="480"/>
      </w:pPr>
      <w:r>
        <w:rPr>
          <w:rFonts w:ascii="Times New Roman" w:hAnsi="Times New Roman" w:eastAsia="宋体"/>
          <w:b w:val="0"/>
          <w:sz w:val="24"/>
        </w:rPr>
        <w:t>A4.3.11.3</w:t>
      </w:r>
    </w:p>
    <w:p>
      <w:pPr>
        <w:spacing w:line="360" w:lineRule="auto"/>
        <w:ind w:firstLine="480"/>
      </w:pPr>
      <w:r>
        <w:rPr>
          <w:rFonts w:ascii="Times New Roman" w:hAnsi="Times New Roman" w:eastAsia="宋体"/>
          <w:b w:val="0"/>
          <w:sz w:val="24"/>
        </w:rPr>
        <w:t>Where there is a substantial amount of test data on the substance or mixture, it may be desirable to</w:t>
      </w:r>
    </w:p>
    <w:p>
      <w:pPr>
        <w:spacing w:line="360" w:lineRule="auto"/>
        <w:ind w:firstLine="480"/>
      </w:pPr>
      <w:r>
        <w:rPr>
          <w:rFonts w:ascii="Times New Roman" w:hAnsi="Times New Roman" w:eastAsia="宋体"/>
          <w:b w:val="0"/>
          <w:sz w:val="24"/>
        </w:rPr>
        <w:t>summarize results e.g. by route of exposure (see A4.3.11.1).</w:t>
      </w:r>
    </w:p>
    <w:p>
      <w:pPr>
        <w:spacing w:line="360" w:lineRule="auto"/>
        <w:ind w:firstLine="480"/>
      </w:pPr>
      <w:r>
        <w:rPr>
          <w:rFonts w:ascii="Times New Roman" w:hAnsi="Times New Roman" w:eastAsia="宋体"/>
          <w:b w:val="0"/>
          <w:sz w:val="24"/>
        </w:rPr>
        <w:t>A4.3.11.4</w:t>
      </w:r>
    </w:p>
    <w:p>
      <w:pPr>
        <w:spacing w:line="360" w:lineRule="auto"/>
        <w:ind w:firstLine="480"/>
      </w:pPr>
      <w:r>
        <w:rPr>
          <w:rFonts w:ascii="Times New Roman" w:hAnsi="Times New Roman" w:eastAsia="宋体"/>
          <w:b w:val="0"/>
          <w:sz w:val="24"/>
        </w:rPr>
        <w:t>The data included in this subsection should apply to the substance or mixture as used. The toxicological</w:t>
      </w:r>
    </w:p>
    <w:p>
      <w:pPr>
        <w:spacing w:line="360" w:lineRule="auto"/>
        <w:ind w:firstLine="480"/>
      </w:pPr>
      <w:r>
        <w:rPr>
          <w:rFonts w:ascii="Times New Roman" w:hAnsi="Times New Roman" w:eastAsia="宋体"/>
          <w:b w:val="0"/>
          <w:sz w:val="24"/>
        </w:rPr>
        <w:t>data should describe the mixture. If that information is not available, the classification under GHS and the toxicological</w:t>
      </w:r>
    </w:p>
    <w:p>
      <w:pPr>
        <w:spacing w:line="360" w:lineRule="auto"/>
        <w:ind w:firstLine="480"/>
      </w:pPr>
      <w:r>
        <w:rPr>
          <w:rFonts w:ascii="Times New Roman" w:hAnsi="Times New Roman" w:eastAsia="宋体"/>
          <w:b w:val="0"/>
          <w:sz w:val="24"/>
        </w:rPr>
        <w:t>properties of the hazardous ingredients should be provided.</w:t>
      </w:r>
    </w:p>
    <w:p>
      <w:pPr>
        <w:spacing w:line="360" w:lineRule="auto"/>
        <w:ind w:firstLine="480"/>
      </w:pPr>
      <w:r>
        <w:rPr>
          <w:rFonts w:ascii="Times New Roman" w:hAnsi="Times New Roman" w:eastAsia="宋体"/>
          <w:b w:val="0"/>
          <w:sz w:val="24"/>
        </w:rPr>
        <w:t>A4.3.11.5</w:t>
      </w:r>
    </w:p>
    <w:p>
      <w:pPr>
        <w:spacing w:line="360" w:lineRule="auto"/>
        <w:ind w:firstLine="480"/>
      </w:pPr>
      <w:r>
        <w:rPr>
          <w:rFonts w:ascii="Times New Roman" w:hAnsi="Times New Roman" w:eastAsia="宋体"/>
          <w:b w:val="0"/>
          <w:sz w:val="24"/>
        </w:rPr>
        <w:t>General statements such as “Toxic” with no supporting data or “Safe if properly used” are not acceptable</w:t>
      </w:r>
    </w:p>
    <w:p>
      <w:pPr>
        <w:spacing w:line="360" w:lineRule="auto"/>
        <w:ind w:firstLine="480"/>
      </w:pPr>
      <w:r>
        <w:rPr>
          <w:rFonts w:ascii="Times New Roman" w:hAnsi="Times New Roman" w:eastAsia="宋体"/>
          <w:b w:val="0"/>
          <w:sz w:val="24"/>
        </w:rPr>
        <w:t>as they may be misleading and do not provide a description of health effects. Phrases such as “not applicable”, “not</w:t>
      </w:r>
    </w:p>
    <w:p>
      <w:pPr>
        <w:spacing w:line="360" w:lineRule="auto"/>
        <w:ind w:firstLine="480"/>
      </w:pPr>
      <w:r>
        <w:rPr>
          <w:rFonts w:ascii="Times New Roman" w:hAnsi="Times New Roman" w:eastAsia="宋体"/>
          <w:b w:val="0"/>
          <w:sz w:val="24"/>
        </w:rPr>
        <w:t>relevant”, or leaving blank spaces in the health effects section can lead to confusion and misunderstanding and should not</w:t>
      </w:r>
    </w:p>
    <w:p>
      <w:pPr>
        <w:spacing w:line="360" w:lineRule="auto"/>
        <w:ind w:firstLine="480"/>
      </w:pPr>
      <w:r>
        <w:rPr>
          <w:rFonts w:ascii="Times New Roman" w:hAnsi="Times New Roman" w:eastAsia="宋体"/>
          <w:b w:val="0"/>
          <w:sz w:val="24"/>
        </w:rPr>
        <w:t>be used. For health effects where information is not available, this should be clearly stated. Health effects should be</w:t>
      </w:r>
    </w:p>
    <w:p>
      <w:pPr>
        <w:spacing w:line="360" w:lineRule="auto"/>
        <w:ind w:firstLine="480"/>
      </w:pPr>
      <w:r>
        <w:rPr>
          <w:rFonts w:ascii="Times New Roman" w:hAnsi="Times New Roman" w:eastAsia="宋体"/>
          <w:b w:val="0"/>
          <w:sz w:val="24"/>
        </w:rPr>
        <w:t>described accurately and relevant distinctions made. For example, allergic contact dermatitis and irritant contact</w:t>
      </w:r>
    </w:p>
    <w:p>
      <w:pPr>
        <w:spacing w:line="360" w:lineRule="auto"/>
        <w:ind w:firstLine="480"/>
      </w:pPr>
      <w:r>
        <w:rPr>
          <w:rFonts w:ascii="Times New Roman" w:hAnsi="Times New Roman" w:eastAsia="宋体"/>
          <w:b w:val="0"/>
          <w:sz w:val="24"/>
        </w:rPr>
        <w:t>dermatitis should be distinguished from each other.</w:t>
      </w:r>
    </w:p>
    <w:p>
      <w:pPr>
        <w:spacing w:line="360" w:lineRule="auto"/>
        <w:ind w:firstLine="480"/>
      </w:pPr>
      <w:r>
        <w:rPr>
          <w:rFonts w:ascii="Times New Roman" w:hAnsi="Times New Roman" w:eastAsia="宋体"/>
          <w:b w:val="0"/>
          <w:sz w:val="24"/>
        </w:rPr>
        <w:t>A4.3.11.6</w:t>
      </w:r>
    </w:p>
    <w:p>
      <w:pPr>
        <w:spacing w:line="360" w:lineRule="auto"/>
        <w:ind w:firstLine="480"/>
      </w:pPr>
      <w:r>
        <w:rPr>
          <w:rFonts w:ascii="Times New Roman" w:hAnsi="Times New Roman" w:eastAsia="宋体"/>
          <w:b w:val="0"/>
          <w:sz w:val="24"/>
        </w:rPr>
        <w:t>If data for any of these hazards are not available, they should still be listed on the SDS with a statement</w:t>
      </w:r>
    </w:p>
    <w:p>
      <w:pPr>
        <w:spacing w:line="360" w:lineRule="auto"/>
        <w:ind w:firstLine="480"/>
      </w:pPr>
      <w:r>
        <w:rPr>
          <w:rFonts w:ascii="Times New Roman" w:hAnsi="Times New Roman" w:eastAsia="宋体"/>
          <w:b w:val="0"/>
          <w:sz w:val="24"/>
        </w:rPr>
        <w:t>that data are not available. Also provide information on the relevant negative data (see A4.2.2.3). If data are available</w:t>
      </w:r>
    </w:p>
    <w:p>
      <w:pPr>
        <w:spacing w:line="360" w:lineRule="auto"/>
        <w:ind w:firstLine="480"/>
      </w:pPr>
      <w:r>
        <w:rPr>
          <w:rFonts w:ascii="Times New Roman" w:hAnsi="Times New Roman" w:eastAsia="宋体"/>
          <w:b w:val="0"/>
          <w:sz w:val="24"/>
        </w:rPr>
        <w:t>showing that the substance or mixture does not meet the criteria for classification, it should be stated on the SDS that the</w:t>
      </w:r>
    </w:p>
    <w:p>
      <w:pPr>
        <w:spacing w:line="360" w:lineRule="auto"/>
        <w:ind w:firstLine="480"/>
      </w:pPr>
      <w:r>
        <w:rPr>
          <w:rFonts w:ascii="Times New Roman" w:hAnsi="Times New Roman" w:eastAsia="宋体"/>
          <w:b w:val="0"/>
          <w:sz w:val="24"/>
        </w:rPr>
        <w:t>substance or mixture has been evaluated and based on available data, does not meet the classification criteria.</w:t>
      </w:r>
    </w:p>
    <w:p>
      <w:pPr>
        <w:spacing w:line="360" w:lineRule="auto"/>
        <w:ind w:firstLine="480"/>
      </w:pPr>
      <w:r>
        <w:rPr>
          <w:rFonts w:ascii="Times New Roman" w:hAnsi="Times New Roman" w:eastAsia="宋体"/>
          <w:b w:val="0"/>
          <w:sz w:val="24"/>
        </w:rPr>
        <w:t>Additionally, if a substance or mixture is found to be not classified for other reasons, for example, due to technical</w:t>
      </w:r>
    </w:p>
    <w:p>
      <w:pPr>
        <w:spacing w:line="360" w:lineRule="auto"/>
        <w:ind w:firstLine="480"/>
      </w:pPr>
      <w:r>
        <w:rPr>
          <w:rFonts w:ascii="Times New Roman" w:hAnsi="Times New Roman" w:eastAsia="宋体"/>
          <w:b w:val="0"/>
          <w:sz w:val="24"/>
        </w:rPr>
        <w:t>impossibility to obtain data, or inconclusive data, this should be clearly stated on the SDS.</w:t>
      </w:r>
    </w:p>
    <w:p>
      <w:pPr>
        <w:spacing w:line="360" w:lineRule="auto"/>
        <w:ind w:firstLine="480"/>
      </w:pPr>
      <w:r>
        <w:rPr>
          <w:rFonts w:ascii="Times New Roman" w:hAnsi="Times New Roman" w:eastAsia="宋体"/>
          <w:b w:val="0"/>
          <w:sz w:val="24"/>
        </w:rPr>
        <w:t>A4.3.11.7</w:t>
      </w:r>
    </w:p>
    <w:p>
      <w:pPr>
        <w:spacing w:line="360" w:lineRule="auto"/>
        <w:ind w:firstLine="480"/>
      </w:pPr>
      <w:r>
        <w:rPr>
          <w:rFonts w:ascii="Times New Roman" w:hAnsi="Times New Roman" w:eastAsia="宋体"/>
          <w:b w:val="0"/>
          <w:sz w:val="24"/>
        </w:rPr>
        <w:t>Information on the likely routes of exposure</w:t>
      </w:r>
    </w:p>
    <w:p>
      <w:pPr>
        <w:spacing w:line="360" w:lineRule="auto"/>
        <w:ind w:firstLine="480"/>
      </w:pPr>
      <w:r>
        <w:rPr>
          <w:rFonts w:ascii="Times New Roman" w:hAnsi="Times New Roman" w:eastAsia="宋体"/>
          <w:b w:val="0"/>
          <w:sz w:val="24"/>
        </w:rPr>
        <w:t>Provide information on the likely routes of exposure and the effects of the substance or mixture via each</w:t>
      </w:r>
    </w:p>
    <w:p>
      <w:pPr>
        <w:spacing w:line="360" w:lineRule="auto"/>
        <w:ind w:firstLine="480"/>
      </w:pPr>
      <w:r>
        <w:rPr>
          <w:rFonts w:ascii="Times New Roman" w:hAnsi="Times New Roman" w:eastAsia="宋体"/>
          <w:b w:val="0"/>
          <w:sz w:val="24"/>
        </w:rPr>
        <w:t>possible route of exposure, that is, through ingestion (swallowing), inhalation or skin/eye exposure. A statement should</w:t>
      </w:r>
    </w:p>
    <w:p>
      <w:pPr>
        <w:spacing w:line="360" w:lineRule="auto"/>
        <w:ind w:firstLine="480"/>
      </w:pPr>
      <w:r>
        <w:rPr>
          <w:rFonts w:ascii="Times New Roman" w:hAnsi="Times New Roman" w:eastAsia="宋体"/>
          <w:b w:val="0"/>
          <w:sz w:val="24"/>
        </w:rPr>
        <w:t>be made if health effects are not known.</w:t>
      </w:r>
    </w:p>
    <w:p>
      <w:pPr>
        <w:spacing w:line="360" w:lineRule="auto"/>
        <w:ind w:firstLine="480"/>
      </w:pPr>
      <w:r>
        <w:rPr>
          <w:rFonts w:ascii="Times New Roman" w:hAnsi="Times New Roman" w:eastAsia="宋体"/>
          <w:b w:val="0"/>
          <w:sz w:val="24"/>
        </w:rPr>
        <w:t>A4.3.11.8</w:t>
      </w:r>
    </w:p>
    <w:p>
      <w:pPr>
        <w:spacing w:line="360" w:lineRule="auto"/>
        <w:ind w:firstLine="480"/>
      </w:pPr>
      <w:r>
        <w:rPr>
          <w:rFonts w:ascii="Times New Roman" w:hAnsi="Times New Roman" w:eastAsia="宋体"/>
          <w:b w:val="0"/>
          <w:sz w:val="24"/>
        </w:rPr>
        <w:t>Symptoms related to the physical, chemical and toxicological characteristics</w:t>
      </w:r>
    </w:p>
    <w:p>
      <w:pPr>
        <w:spacing w:line="360" w:lineRule="auto"/>
        <w:ind w:firstLine="480"/>
      </w:pPr>
      <w:r>
        <w:rPr>
          <w:rFonts w:ascii="Times New Roman" w:hAnsi="Times New Roman" w:eastAsia="宋体"/>
          <w:b w:val="0"/>
          <w:sz w:val="24"/>
        </w:rPr>
        <w:t>Describe the potential adverse health effects and symptoms associated with exposure to the substance</w:t>
      </w:r>
    </w:p>
    <w:p>
      <w:pPr>
        <w:spacing w:line="360" w:lineRule="auto"/>
        <w:ind w:firstLine="480"/>
      </w:pPr>
      <w:r>
        <w:rPr>
          <w:rFonts w:ascii="Times New Roman" w:hAnsi="Times New Roman" w:eastAsia="宋体"/>
          <w:b w:val="0"/>
          <w:sz w:val="24"/>
        </w:rPr>
        <w:t>or mixture and its ingredients or known by-products. Provide information on the symptoms related to the physical,</w:t>
      </w:r>
    </w:p>
    <w:p>
      <w:pPr>
        <w:spacing w:line="360" w:lineRule="auto"/>
        <w:ind w:firstLine="480"/>
      </w:pPr>
      <w:r>
        <w:rPr>
          <w:rFonts w:ascii="Times New Roman" w:hAnsi="Times New Roman" w:eastAsia="宋体"/>
          <w:b w:val="0"/>
          <w:sz w:val="24"/>
        </w:rPr>
        <w:t>chemical and toxicological characteristics of the substance or mixture following exposure related to the intended uses.</w:t>
      </w:r>
    </w:p>
    <w:p>
      <w:pPr>
        <w:spacing w:line="360" w:lineRule="auto"/>
        <w:ind w:firstLine="480"/>
      </w:pPr>
      <w:r>
        <w:rPr>
          <w:rFonts w:ascii="Times New Roman" w:hAnsi="Times New Roman" w:eastAsia="宋体"/>
          <w:b w:val="0"/>
          <w:sz w:val="24"/>
        </w:rPr>
        <w:t>Describe the first symptoms at the lowest exposures through to the consequences of severe exposure; for example,</w:t>
      </w:r>
    </w:p>
    <w:p>
      <w:pPr>
        <w:spacing w:line="360" w:lineRule="auto"/>
        <w:ind w:firstLine="480"/>
      </w:pPr>
      <w:r>
        <w:rPr>
          <w:rFonts w:ascii="Times New Roman" w:hAnsi="Times New Roman" w:eastAsia="宋体"/>
          <w:b w:val="0"/>
          <w:sz w:val="24"/>
        </w:rPr>
        <w:t>“headaches and dizziness may occur, proceeding to fainting or unconsciousness; large doses may result in coma and</w:t>
      </w:r>
    </w:p>
    <w:p>
      <w:pPr>
        <w:spacing w:line="360" w:lineRule="auto"/>
        <w:ind w:firstLine="480"/>
      </w:pPr>
      <w:r>
        <w:rPr>
          <w:rFonts w:ascii="Times New Roman" w:hAnsi="Times New Roman" w:eastAsia="宋体"/>
          <w:b w:val="0"/>
          <w:sz w:val="24"/>
        </w:rPr>
        <w:t>death”.</w:t>
      </w:r>
    </w:p>
    <w:p>
      <w:pPr>
        <w:spacing w:line="360" w:lineRule="auto"/>
        <w:ind w:firstLine="480"/>
      </w:pPr>
      <w:r>
        <w:rPr>
          <w:rFonts w:ascii="Times New Roman" w:hAnsi="Times New Roman" w:eastAsia="宋体"/>
          <w:b w:val="0"/>
          <w:sz w:val="24"/>
        </w:rPr>
        <w:t>A4.3.11.9</w:t>
      </w:r>
    </w:p>
    <w:p>
      <w:pPr>
        <w:spacing w:line="360" w:lineRule="auto"/>
        <w:ind w:firstLine="480"/>
      </w:pPr>
      <w:r>
        <w:rPr>
          <w:rFonts w:ascii="Times New Roman" w:hAnsi="Times New Roman" w:eastAsia="宋体"/>
          <w:b w:val="0"/>
          <w:sz w:val="24"/>
        </w:rPr>
        <w:t>Delayed and immediate effects and also chronic effects from short- and long-term exposure</w:t>
      </w:r>
    </w:p>
    <w:p>
      <w:pPr>
        <w:spacing w:line="360" w:lineRule="auto"/>
        <w:ind w:firstLine="480"/>
      </w:pPr>
      <w:r>
        <w:rPr>
          <w:rFonts w:ascii="Times New Roman" w:hAnsi="Times New Roman" w:eastAsia="宋体"/>
          <w:b w:val="0"/>
          <w:sz w:val="24"/>
        </w:rPr>
        <w:t>Provide information on whether delayed or immediate effects can be expected after short- or long-term</w:t>
      </w:r>
    </w:p>
    <w:p>
      <w:pPr>
        <w:spacing w:line="360" w:lineRule="auto"/>
        <w:ind w:firstLine="480"/>
      </w:pPr>
      <w:r>
        <w:rPr>
          <w:rFonts w:ascii="Times New Roman" w:hAnsi="Times New Roman" w:eastAsia="宋体"/>
          <w:b w:val="0"/>
          <w:sz w:val="24"/>
        </w:rPr>
        <w:t>exposure. Also provide information on acute and chronic health effects relating to human exposure to the substance or</w:t>
      </w:r>
    </w:p>
    <w:p>
      <w:pPr>
        <w:spacing w:line="360" w:lineRule="auto"/>
        <w:ind w:firstLine="480"/>
      </w:pPr>
      <w:r>
        <w:rPr>
          <w:rFonts w:ascii="Times New Roman" w:hAnsi="Times New Roman" w:eastAsia="宋体"/>
          <w:b w:val="0"/>
          <w:sz w:val="24"/>
        </w:rPr>
        <w:t>mixture. Where human data are not available, animal data should be summarised, and the species clearly identified. It</w:t>
      </w:r>
    </w:p>
    <w:p>
      <w:pPr>
        <w:spacing w:line="360" w:lineRule="auto"/>
        <w:ind w:firstLine="480"/>
      </w:pPr>
      <w:r>
        <w:rPr>
          <w:rFonts w:ascii="Times New Roman" w:hAnsi="Times New Roman" w:eastAsia="宋体"/>
          <w:b w:val="0"/>
          <w:sz w:val="24"/>
        </w:rPr>
        <w:t>should be indicated in the SDS whether toxicological data is based on human or animal data.</w:t>
      </w:r>
    </w:p>
    <w:p>
      <w:pPr>
        <w:spacing w:line="360" w:lineRule="auto"/>
        <w:ind w:firstLine="480"/>
      </w:pPr>
      <w:r>
        <w:rPr>
          <w:rFonts w:ascii="Times New Roman" w:hAnsi="Times New Roman" w:eastAsia="宋体"/>
          <w:b w:val="0"/>
          <w:sz w:val="24"/>
        </w:rPr>
        <w:t>A4.3.11.10</w:t>
      </w:r>
    </w:p>
    <w:p>
      <w:pPr>
        <w:spacing w:line="360" w:lineRule="auto"/>
        <w:ind w:firstLine="480"/>
      </w:pPr>
      <w:r>
        <w:rPr>
          <w:rFonts w:ascii="Times New Roman" w:hAnsi="Times New Roman" w:eastAsia="宋体"/>
          <w:b w:val="0"/>
          <w:sz w:val="24"/>
        </w:rPr>
        <w:t>Numerical measures of toxicity (such as acute toxicity estimates)</w:t>
      </w:r>
    </w:p>
    <w:p>
      <w:pPr>
        <w:spacing w:line="360" w:lineRule="auto"/>
        <w:ind w:firstLine="480"/>
      </w:pPr>
      <w:r>
        <w:rPr>
          <w:rFonts w:ascii="Times New Roman" w:hAnsi="Times New Roman" w:eastAsia="宋体"/>
          <w:b w:val="0"/>
          <w:sz w:val="24"/>
        </w:rPr>
        <w:t>Provide information on the dose, concentration or conditions of exposure that may cause adverse health</w:t>
      </w:r>
    </w:p>
    <w:p>
      <w:pPr>
        <w:spacing w:line="360" w:lineRule="auto"/>
        <w:ind w:firstLine="480"/>
      </w:pPr>
      <w:r>
        <w:rPr>
          <w:rFonts w:ascii="Times New Roman" w:hAnsi="Times New Roman" w:eastAsia="宋体"/>
          <w:b w:val="0"/>
          <w:sz w:val="24"/>
        </w:rPr>
        <w:t>effects. Where appropriate, doses should be linked to symptoms and effects, including the period of exposure likely to</w:t>
      </w:r>
    </w:p>
    <w:p>
      <w:pPr>
        <w:spacing w:line="360" w:lineRule="auto"/>
        <w:ind w:firstLine="480"/>
      </w:pPr>
      <w:r>
        <w:rPr>
          <w:rFonts w:ascii="Times New Roman" w:hAnsi="Times New Roman" w:eastAsia="宋体"/>
          <w:b w:val="0"/>
          <w:sz w:val="24"/>
        </w:rPr>
        <w:t>cause harm.</w:t>
      </w:r>
    </w:p>
    <w:p>
      <w:pPr>
        <w:spacing w:line="360" w:lineRule="auto"/>
        <w:ind w:firstLine="480"/>
      </w:pPr>
      <w:r>
        <w:rPr>
          <w:rFonts w:ascii="Times New Roman" w:hAnsi="Times New Roman" w:eastAsia="宋体"/>
          <w:b w:val="0"/>
          <w:sz w:val="24"/>
        </w:rPr>
        <w:t>A4.3.11.11</w:t>
      </w:r>
    </w:p>
    <w:p>
      <w:pPr>
        <w:spacing w:line="360" w:lineRule="auto"/>
        <w:ind w:firstLine="480"/>
      </w:pPr>
      <w:r>
        <w:rPr>
          <w:rFonts w:ascii="Times New Roman" w:hAnsi="Times New Roman" w:eastAsia="宋体"/>
          <w:b w:val="0"/>
          <w:sz w:val="24"/>
        </w:rPr>
        <w:t>Interactive effects</w:t>
      </w:r>
    </w:p>
    <w:p>
      <w:pPr>
        <w:spacing w:line="360" w:lineRule="auto"/>
        <w:ind w:firstLine="480"/>
      </w:pPr>
      <w:r>
        <w:rPr>
          <w:rFonts w:ascii="Times New Roman" w:hAnsi="Times New Roman" w:eastAsia="宋体"/>
          <w:b w:val="0"/>
          <w:sz w:val="24"/>
        </w:rPr>
        <w:t>Information on interactions should be included if relevant and readily available.</w:t>
      </w:r>
    </w:p>
    <w:p>
      <w:pPr>
        <w:spacing w:line="360" w:lineRule="auto"/>
        <w:ind w:firstLine="480"/>
      </w:pPr>
      <w:r>
        <w:rPr>
          <w:rFonts w:ascii="Times New Roman" w:hAnsi="Times New Roman" w:eastAsia="宋体"/>
          <w:b w:val="0"/>
          <w:sz w:val="24"/>
        </w:rPr>
        <w:t>- 427 -</w:t>
      </w:r>
    </w:p>
    <w:p>
      <w:pPr>
        <w:spacing w:line="360" w:lineRule="auto"/>
        <w:ind w:firstLine="480"/>
      </w:pPr>
      <w:r>
        <w:rPr>
          <w:rFonts w:ascii="Times New Roman" w:hAnsi="Times New Roman" w:eastAsia="宋体"/>
          <w:b w:val="0"/>
          <w:sz w:val="24"/>
        </w:rPr>
        <w:t>A4.3.11.12</w:t>
      </w:r>
    </w:p>
    <w:p>
      <w:pPr>
        <w:spacing w:line="360" w:lineRule="auto"/>
        <w:ind w:firstLine="480"/>
      </w:pPr>
      <w:r>
        <w:rPr>
          <w:rFonts w:ascii="Times New Roman" w:hAnsi="Times New Roman" w:eastAsia="宋体"/>
          <w:b w:val="0"/>
          <w:sz w:val="24"/>
        </w:rPr>
        <w:t>Where specific chemical data are not available</w:t>
      </w:r>
    </w:p>
    <w:p>
      <w:pPr>
        <w:spacing w:line="360" w:lineRule="auto"/>
        <w:ind w:firstLine="480"/>
      </w:pPr>
      <w:r>
        <w:rPr>
          <w:rFonts w:ascii="Times New Roman" w:hAnsi="Times New Roman" w:eastAsia="宋体"/>
          <w:b w:val="0"/>
          <w:sz w:val="24"/>
        </w:rPr>
        <w:t>It may not always be possible to obtain information on the hazards of a substance or mixture. In cases</w:t>
      </w:r>
    </w:p>
    <w:p>
      <w:pPr>
        <w:spacing w:line="360" w:lineRule="auto"/>
        <w:ind w:firstLine="480"/>
      </w:pPr>
      <w:r>
        <w:rPr>
          <w:rFonts w:ascii="Times New Roman" w:hAnsi="Times New Roman" w:eastAsia="宋体"/>
          <w:b w:val="0"/>
          <w:sz w:val="24"/>
        </w:rPr>
        <w:t>where data on the specific substance or mixture are not available, data on the chemical class, if appropriate, may be used.</w:t>
      </w:r>
    </w:p>
    <w:p>
      <w:pPr>
        <w:spacing w:line="360" w:lineRule="auto"/>
        <w:ind w:firstLine="480"/>
      </w:pPr>
      <w:r>
        <w:rPr>
          <w:rFonts w:ascii="Times New Roman" w:hAnsi="Times New Roman" w:eastAsia="宋体"/>
          <w:b w:val="0"/>
          <w:sz w:val="24"/>
        </w:rPr>
        <w:t>Where generic data are used or where data are not available, this should be stated clearly in the SDS.</w:t>
      </w:r>
    </w:p>
    <w:p>
      <w:pPr>
        <w:spacing w:line="360" w:lineRule="auto"/>
        <w:ind w:firstLine="480"/>
      </w:pPr>
      <w:r>
        <w:rPr>
          <w:rFonts w:ascii="Times New Roman" w:hAnsi="Times New Roman" w:eastAsia="宋体"/>
          <w:b w:val="0"/>
          <w:sz w:val="24"/>
        </w:rPr>
        <w:t>A4.3.11.13</w:t>
      </w:r>
    </w:p>
    <w:p>
      <w:pPr>
        <w:spacing w:line="360" w:lineRule="auto"/>
        <w:ind w:firstLine="480"/>
      </w:pPr>
      <w:r>
        <w:rPr>
          <w:rFonts w:ascii="Times New Roman" w:hAnsi="Times New Roman" w:eastAsia="宋体"/>
          <w:b w:val="0"/>
          <w:sz w:val="24"/>
        </w:rPr>
        <w:t>Mixtures</w:t>
      </w:r>
    </w:p>
    <w:p>
      <w:pPr>
        <w:spacing w:line="360" w:lineRule="auto"/>
        <w:ind w:firstLine="480"/>
      </w:pPr>
      <w:r>
        <w:rPr>
          <w:rFonts w:ascii="Times New Roman" w:hAnsi="Times New Roman" w:eastAsia="宋体"/>
          <w:b w:val="0"/>
          <w:sz w:val="24"/>
        </w:rPr>
        <w:t>If a mixture has not been tested for its health effects as a whole then information on each ingredient</w:t>
      </w:r>
    </w:p>
    <w:p>
      <w:pPr>
        <w:spacing w:line="360" w:lineRule="auto"/>
        <w:ind w:firstLine="480"/>
      </w:pPr>
      <w:r>
        <w:rPr>
          <w:rFonts w:ascii="Times New Roman" w:hAnsi="Times New Roman" w:eastAsia="宋体"/>
          <w:b w:val="0"/>
          <w:sz w:val="24"/>
        </w:rPr>
        <w:t>listed under A4.3.3.2.1 should be provided and the mixture should be classified using the processes that are described in</w:t>
      </w:r>
    </w:p>
    <w:p>
      <w:pPr>
        <w:spacing w:line="360" w:lineRule="auto"/>
        <w:ind w:firstLine="480"/>
      </w:pPr>
      <w:r>
        <w:rPr>
          <w:rFonts w:ascii="Times New Roman" w:hAnsi="Times New Roman" w:eastAsia="宋体"/>
          <w:b w:val="0"/>
          <w:sz w:val="24"/>
        </w:rPr>
        <w:t>the GHS (section 1.3.2.3 and subsequent chapters).</w:t>
      </w:r>
    </w:p>
    <w:p>
      <w:pPr>
        <w:spacing w:line="360" w:lineRule="auto"/>
        <w:ind w:firstLine="480"/>
      </w:pPr>
      <w:r>
        <w:rPr>
          <w:rFonts w:ascii="Times New Roman" w:hAnsi="Times New Roman" w:eastAsia="宋体"/>
          <w:b w:val="0"/>
          <w:sz w:val="24"/>
        </w:rPr>
        <w:t>A4.3.11.14</w:t>
      </w:r>
    </w:p>
    <w:p>
      <w:pPr>
        <w:spacing w:line="360" w:lineRule="auto"/>
        <w:ind w:firstLine="480"/>
      </w:pPr>
      <w:r>
        <w:rPr>
          <w:rFonts w:ascii="Times New Roman" w:hAnsi="Times New Roman" w:eastAsia="宋体"/>
          <w:b w:val="0"/>
          <w:sz w:val="24"/>
        </w:rPr>
        <w:t>Mixture versus ingredient information</w:t>
      </w:r>
    </w:p>
    <w:p>
      <w:pPr>
        <w:spacing w:line="360" w:lineRule="auto"/>
        <w:ind w:firstLine="480"/>
      </w:pPr>
      <w:r>
        <w:rPr>
          <w:rFonts w:ascii="Times New Roman" w:hAnsi="Times New Roman" w:eastAsia="宋体"/>
          <w:b w:val="0"/>
          <w:sz w:val="24"/>
        </w:rPr>
        <w:t>A4.3.11.14.1</w:t>
      </w:r>
    </w:p>
    <w:p>
      <w:pPr>
        <w:spacing w:line="360" w:lineRule="auto"/>
        <w:ind w:firstLine="480"/>
      </w:pPr>
      <w:r>
        <w:rPr>
          <w:rFonts w:ascii="Times New Roman" w:hAnsi="Times New Roman" w:eastAsia="宋体"/>
          <w:b w:val="0"/>
          <w:sz w:val="24"/>
        </w:rPr>
        <w:t>Ingredients may interact with each other in the body resulting in different rates of absorption,</w:t>
      </w:r>
    </w:p>
    <w:p>
      <w:pPr>
        <w:spacing w:line="360" w:lineRule="auto"/>
        <w:ind w:firstLine="480"/>
      </w:pPr>
      <w:r>
        <w:rPr>
          <w:rFonts w:ascii="Times New Roman" w:hAnsi="Times New Roman" w:eastAsia="宋体"/>
          <w:b w:val="0"/>
          <w:sz w:val="24"/>
        </w:rPr>
        <w:t>metabolism and excretion. As a result, the toxic actions may be altered, and the overall toxicity of the mixture may be</w:t>
      </w:r>
    </w:p>
    <w:p>
      <w:pPr>
        <w:spacing w:line="360" w:lineRule="auto"/>
        <w:ind w:firstLine="480"/>
      </w:pPr>
      <w:r>
        <w:rPr>
          <w:rFonts w:ascii="Times New Roman" w:hAnsi="Times New Roman" w:eastAsia="宋体"/>
          <w:b w:val="0"/>
          <w:sz w:val="24"/>
        </w:rPr>
        <w:t>different from its ingredients.</w:t>
      </w:r>
    </w:p>
    <w:p>
      <w:pPr>
        <w:spacing w:line="360" w:lineRule="auto"/>
        <w:ind w:firstLine="480"/>
      </w:pPr>
      <w:r>
        <w:rPr>
          <w:rFonts w:ascii="Times New Roman" w:hAnsi="Times New Roman" w:eastAsia="宋体"/>
          <w:b w:val="0"/>
          <w:sz w:val="24"/>
        </w:rPr>
        <w:t>A4.3.11.14.2</w:t>
      </w:r>
    </w:p>
    <w:p>
      <w:pPr>
        <w:spacing w:line="360" w:lineRule="auto"/>
        <w:ind w:firstLine="480"/>
      </w:pPr>
      <w:r>
        <w:rPr>
          <w:rFonts w:ascii="Times New Roman" w:hAnsi="Times New Roman" w:eastAsia="宋体"/>
          <w:b w:val="0"/>
          <w:sz w:val="24"/>
        </w:rPr>
        <w:t>It is necessary to consider whether the concentration of each ingredient is sufficient to contribute to the</w:t>
      </w:r>
    </w:p>
    <w:p>
      <w:pPr>
        <w:spacing w:line="360" w:lineRule="auto"/>
        <w:ind w:firstLine="480"/>
      </w:pPr>
      <w:r>
        <w:rPr>
          <w:rFonts w:ascii="Times New Roman" w:hAnsi="Times New Roman" w:eastAsia="宋体"/>
          <w:b w:val="0"/>
          <w:sz w:val="24"/>
        </w:rPr>
        <w:t>overall health effects of the mixture. The information on toxic effects should be presented for each ingredient, except:</w:t>
      </w:r>
    </w:p>
    <w:p>
      <w:pPr>
        <w:spacing w:line="360" w:lineRule="auto"/>
        <w:ind w:firstLine="480"/>
      </w:pPr>
      <w:r>
        <w:rPr>
          <w:rFonts w:ascii="Times New Roman" w:hAnsi="Times New Roman" w:eastAsia="宋体"/>
          <w:b w:val="0"/>
          <w:sz w:val="24"/>
        </w:rPr>
        <w:t>(a)</w:t>
      </w:r>
    </w:p>
    <w:p>
      <w:pPr>
        <w:spacing w:line="360" w:lineRule="auto"/>
        <w:ind w:firstLine="480"/>
      </w:pPr>
      <w:r>
        <w:rPr>
          <w:rFonts w:ascii="Times New Roman" w:hAnsi="Times New Roman" w:eastAsia="宋体"/>
          <w:b w:val="0"/>
          <w:sz w:val="24"/>
        </w:rPr>
        <w:t>if the information is duplicated, it is not necessary to list this more than once. For example, if</w:t>
      </w:r>
    </w:p>
    <w:p>
      <w:pPr>
        <w:spacing w:line="360" w:lineRule="auto"/>
        <w:ind w:firstLine="480"/>
      </w:pPr>
      <w:r>
        <w:rPr>
          <w:rFonts w:ascii="Times New Roman" w:hAnsi="Times New Roman" w:eastAsia="宋体"/>
          <w:b w:val="0"/>
          <w:sz w:val="24"/>
        </w:rPr>
        <w:t>two ingredients both cause vomiting and diarrhoea, it is not necessary to list this twice. Overall,</w:t>
      </w:r>
    </w:p>
    <w:p>
      <w:pPr>
        <w:spacing w:line="360" w:lineRule="auto"/>
        <w:ind w:firstLine="480"/>
      </w:pPr>
      <w:r>
        <w:rPr>
          <w:rFonts w:ascii="Times New Roman" w:hAnsi="Times New Roman" w:eastAsia="宋体"/>
          <w:b w:val="0"/>
          <w:sz w:val="24"/>
        </w:rPr>
        <w:t>the mixture is described as causing vomiting and diarrhoea;</w:t>
      </w:r>
    </w:p>
    <w:p>
      <w:pPr>
        <w:spacing w:line="360" w:lineRule="auto"/>
        <w:ind w:firstLine="480"/>
      </w:pPr>
      <w:r>
        <w:rPr>
          <w:rFonts w:ascii="Times New Roman" w:hAnsi="Times New Roman" w:eastAsia="宋体"/>
          <w:b w:val="0"/>
          <w:sz w:val="24"/>
        </w:rPr>
        <w:t>(b)</w:t>
      </w:r>
    </w:p>
    <w:p>
      <w:pPr>
        <w:spacing w:line="360" w:lineRule="auto"/>
        <w:ind w:firstLine="480"/>
      </w:pPr>
      <w:r>
        <w:rPr>
          <w:rFonts w:ascii="Times New Roman" w:hAnsi="Times New Roman" w:eastAsia="宋体"/>
          <w:b w:val="0"/>
          <w:sz w:val="24"/>
        </w:rPr>
        <w:t>if it is unlikely that these effects will occur at the concentrations present. For example, when a</w:t>
      </w:r>
    </w:p>
    <w:p>
      <w:pPr>
        <w:spacing w:line="360" w:lineRule="auto"/>
        <w:ind w:firstLine="480"/>
      </w:pPr>
      <w:r>
        <w:rPr>
          <w:rFonts w:ascii="Times New Roman" w:hAnsi="Times New Roman" w:eastAsia="宋体"/>
          <w:b w:val="0"/>
          <w:sz w:val="24"/>
        </w:rPr>
        <w:t>mild irritant is diluted in a non-irritating solution, there comes a point where the overall mixture</w:t>
      </w:r>
    </w:p>
    <w:p>
      <w:pPr>
        <w:spacing w:line="360" w:lineRule="auto"/>
        <w:ind w:firstLine="480"/>
      </w:pPr>
      <w:r>
        <w:rPr>
          <w:rFonts w:ascii="Times New Roman" w:hAnsi="Times New Roman" w:eastAsia="宋体"/>
          <w:b w:val="0"/>
          <w:sz w:val="24"/>
        </w:rPr>
        <w:t>would be unlikely to cause irritation;</w:t>
      </w:r>
    </w:p>
    <w:p>
      <w:pPr>
        <w:spacing w:line="360" w:lineRule="auto"/>
        <w:ind w:firstLine="480"/>
      </w:pPr>
      <w:r>
        <w:rPr>
          <w:rFonts w:ascii="Times New Roman" w:hAnsi="Times New Roman" w:eastAsia="宋体"/>
          <w:b w:val="0"/>
          <w:sz w:val="24"/>
        </w:rPr>
        <w:t>(c)</w:t>
      </w:r>
    </w:p>
    <w:p>
      <w:pPr>
        <w:spacing w:line="360" w:lineRule="auto"/>
        <w:ind w:firstLine="480"/>
      </w:pPr>
      <w:r>
        <w:rPr>
          <w:rFonts w:ascii="Times New Roman" w:hAnsi="Times New Roman" w:eastAsia="宋体"/>
          <w:b w:val="0"/>
          <w:sz w:val="24"/>
        </w:rPr>
        <w:t>Predicting the interactions between ingredients is extremely difficult, and where information on</w:t>
      </w:r>
    </w:p>
    <w:p>
      <w:pPr>
        <w:spacing w:line="360" w:lineRule="auto"/>
        <w:ind w:firstLine="480"/>
      </w:pPr>
      <w:r>
        <w:rPr>
          <w:rFonts w:ascii="Times New Roman" w:hAnsi="Times New Roman" w:eastAsia="宋体"/>
          <w:b w:val="0"/>
          <w:sz w:val="24"/>
        </w:rPr>
        <w:t>interactions is not available, assumptions should not be made and instead the health effects of</w:t>
      </w:r>
    </w:p>
    <w:p>
      <w:pPr>
        <w:spacing w:line="360" w:lineRule="auto"/>
        <w:ind w:firstLine="480"/>
      </w:pPr>
      <w:r>
        <w:rPr>
          <w:rFonts w:ascii="Times New Roman" w:hAnsi="Times New Roman" w:eastAsia="宋体"/>
          <w:b w:val="0"/>
          <w:sz w:val="24"/>
        </w:rPr>
        <w:t>each ingredient should be listed separately.</w:t>
      </w:r>
    </w:p>
    <w:p>
      <w:pPr>
        <w:spacing w:line="360" w:lineRule="auto"/>
        <w:ind w:firstLine="480"/>
      </w:pPr>
      <w:r>
        <w:rPr>
          <w:rFonts w:ascii="Times New Roman" w:hAnsi="Times New Roman" w:eastAsia="宋体"/>
          <w:b w:val="0"/>
          <w:sz w:val="24"/>
        </w:rPr>
        <w:t>A4.3.11.15</w:t>
      </w:r>
    </w:p>
    <w:p>
      <w:pPr>
        <w:spacing w:line="360" w:lineRule="auto"/>
        <w:ind w:firstLine="480"/>
      </w:pPr>
      <w:r>
        <w:rPr>
          <w:rFonts w:ascii="Times New Roman" w:hAnsi="Times New Roman" w:eastAsia="宋体"/>
          <w:b w:val="0"/>
          <w:sz w:val="24"/>
        </w:rPr>
        <w:t>Other information</w:t>
      </w:r>
    </w:p>
    <w:p>
      <w:pPr>
        <w:spacing w:line="360" w:lineRule="auto"/>
        <w:ind w:firstLine="480"/>
      </w:pPr>
      <w:r>
        <w:rPr>
          <w:rFonts w:ascii="Times New Roman" w:hAnsi="Times New Roman" w:eastAsia="宋体"/>
          <w:b w:val="0"/>
          <w:sz w:val="24"/>
        </w:rPr>
        <w:t>Other relevant information on adverse health effects should be included even when not required by the</w:t>
      </w:r>
    </w:p>
    <w:p>
      <w:pPr>
        <w:spacing w:line="360" w:lineRule="auto"/>
        <w:ind w:firstLine="480"/>
      </w:pPr>
      <w:r>
        <w:rPr>
          <w:rFonts w:ascii="Times New Roman" w:hAnsi="Times New Roman" w:eastAsia="宋体"/>
          <w:b w:val="0"/>
          <w:sz w:val="24"/>
        </w:rPr>
        <w:t>GHS classification criteria.</w:t>
      </w:r>
    </w:p>
    <w:p>
      <w:pPr>
        <w:spacing w:line="360" w:lineRule="auto"/>
        <w:ind w:firstLine="480"/>
      </w:pPr>
      <w:r>
        <w:rPr>
          <w:rFonts w:ascii="Times New Roman" w:hAnsi="Times New Roman" w:eastAsia="宋体"/>
          <w:b w:val="0"/>
          <w:sz w:val="24"/>
        </w:rPr>
        <w:t>A4.3.12</w:t>
      </w:r>
    </w:p>
    <w:p>
      <w:pPr>
        <w:spacing w:line="360" w:lineRule="auto"/>
        <w:ind w:firstLine="480"/>
      </w:pPr>
      <w:r>
        <w:rPr>
          <w:rFonts w:ascii="Times New Roman" w:hAnsi="Times New Roman" w:eastAsia="宋体"/>
          <w:b w:val="0"/>
          <w:sz w:val="24"/>
        </w:rPr>
        <w:t>SECTION 12: Ecological information</w:t>
      </w:r>
    </w:p>
    <w:p>
      <w:pPr>
        <w:spacing w:line="360" w:lineRule="auto"/>
        <w:ind w:firstLine="480"/>
      </w:pPr>
      <w:r>
        <w:rPr>
          <w:rFonts w:ascii="Times New Roman" w:hAnsi="Times New Roman" w:eastAsia="宋体"/>
          <w:b w:val="0"/>
          <w:sz w:val="24"/>
        </w:rPr>
        <w:t>A4.3.12.1</w:t>
      </w:r>
    </w:p>
    <w:p>
      <w:pPr>
        <w:spacing w:line="360" w:lineRule="auto"/>
        <w:ind w:firstLine="480"/>
      </w:pPr>
      <w:r>
        <w:rPr>
          <w:rFonts w:ascii="Times New Roman" w:hAnsi="Times New Roman" w:eastAsia="宋体"/>
          <w:b w:val="0"/>
          <w:sz w:val="24"/>
        </w:rPr>
        <w:t>The information that shall be provided in this section is to enable evaluation of the environmental impact</w:t>
      </w:r>
    </w:p>
    <w:p>
      <w:pPr>
        <w:spacing w:line="360" w:lineRule="auto"/>
        <w:ind w:firstLine="480"/>
      </w:pPr>
      <w:r>
        <w:rPr>
          <w:rFonts w:ascii="Times New Roman" w:hAnsi="Times New Roman" w:eastAsia="宋体"/>
          <w:b w:val="0"/>
          <w:sz w:val="24"/>
        </w:rPr>
        <w:t>of the substance or mixture if it were released to the environment. This information can assist in handling spills, and</w:t>
      </w:r>
    </w:p>
    <w:p>
      <w:pPr>
        <w:spacing w:line="360" w:lineRule="auto"/>
        <w:ind w:firstLine="480"/>
      </w:pPr>
      <w:r>
        <w:rPr>
          <w:rFonts w:ascii="Times New Roman" w:hAnsi="Times New Roman" w:eastAsia="宋体"/>
          <w:b w:val="0"/>
          <w:sz w:val="24"/>
        </w:rPr>
        <w:t>evaluating waste treatment practices, control of release, accidental release measures, and transport.</w:t>
      </w:r>
    </w:p>
    <w:p>
      <w:pPr>
        <w:spacing w:line="360" w:lineRule="auto"/>
        <w:ind w:firstLine="480"/>
      </w:pPr>
      <w:r>
        <w:rPr>
          <w:rFonts w:ascii="Times New Roman" w:hAnsi="Times New Roman" w:eastAsia="宋体"/>
          <w:b w:val="0"/>
          <w:sz w:val="24"/>
        </w:rPr>
        <w:t>A4.3.12.2</w:t>
      </w:r>
    </w:p>
    <w:p>
      <w:pPr>
        <w:spacing w:line="360" w:lineRule="auto"/>
        <w:ind w:firstLine="480"/>
      </w:pPr>
      <w:r>
        <w:rPr>
          <w:rFonts w:ascii="Times New Roman" w:hAnsi="Times New Roman" w:eastAsia="宋体"/>
          <w:b w:val="0"/>
          <w:sz w:val="24"/>
        </w:rPr>
        <w:t>A concise but complete and comprehensible description of the various ecotoxicological (environment)</w:t>
      </w:r>
    </w:p>
    <w:p>
      <w:pPr>
        <w:spacing w:line="360" w:lineRule="auto"/>
        <w:ind w:firstLine="480"/>
      </w:pPr>
      <w:r>
        <w:rPr>
          <w:rFonts w:ascii="Times New Roman" w:hAnsi="Times New Roman" w:eastAsia="宋体"/>
          <w:b w:val="0"/>
          <w:sz w:val="24"/>
        </w:rPr>
        <w:t>properties, and the available data used to identify those properties, should be provided. The basic properties, for which</w:t>
      </w:r>
    </w:p>
    <w:p>
      <w:pPr>
        <w:spacing w:line="360" w:lineRule="auto"/>
        <w:ind w:firstLine="480"/>
      </w:pPr>
      <w:r>
        <w:rPr>
          <w:rFonts w:ascii="Times New Roman" w:hAnsi="Times New Roman" w:eastAsia="宋体"/>
          <w:b w:val="0"/>
          <w:sz w:val="24"/>
        </w:rPr>
        <w:t>data should be provided, are:</w:t>
      </w:r>
    </w:p>
    <w:p>
      <w:pPr>
        <w:spacing w:line="360" w:lineRule="auto"/>
        <w:ind w:firstLine="480"/>
      </w:pPr>
      <w:r>
        <w:rPr>
          <w:rFonts w:ascii="Times New Roman" w:hAnsi="Times New Roman" w:eastAsia="宋体"/>
          <w:b w:val="0"/>
          <w:sz w:val="24"/>
        </w:rPr>
        <w:t>(a)</w:t>
      </w:r>
    </w:p>
    <w:p>
      <w:pPr>
        <w:spacing w:line="360" w:lineRule="auto"/>
        <w:ind w:firstLine="480"/>
      </w:pPr>
      <w:r>
        <w:rPr>
          <w:rFonts w:ascii="Times New Roman" w:hAnsi="Times New Roman" w:eastAsia="宋体"/>
          <w:b w:val="0"/>
          <w:sz w:val="24"/>
        </w:rPr>
        <w:t>Toxicity;</w:t>
      </w:r>
    </w:p>
    <w:p>
      <w:pPr>
        <w:spacing w:line="360" w:lineRule="auto"/>
        <w:ind w:firstLine="480"/>
      </w:pPr>
      <w:r>
        <w:rPr>
          <w:rFonts w:ascii="Times New Roman" w:hAnsi="Times New Roman" w:eastAsia="宋体"/>
          <w:b w:val="0"/>
          <w:sz w:val="24"/>
        </w:rPr>
        <w:t>(b)</w:t>
      </w:r>
    </w:p>
    <w:p>
      <w:pPr>
        <w:spacing w:line="360" w:lineRule="auto"/>
        <w:ind w:firstLine="480"/>
      </w:pPr>
      <w:r>
        <w:rPr>
          <w:rFonts w:ascii="Times New Roman" w:hAnsi="Times New Roman" w:eastAsia="宋体"/>
          <w:b w:val="0"/>
          <w:sz w:val="24"/>
        </w:rPr>
        <w:t>Persistence and degradability;</w:t>
      </w:r>
    </w:p>
    <w:p>
      <w:pPr>
        <w:spacing w:line="360" w:lineRule="auto"/>
        <w:ind w:firstLine="480"/>
      </w:pPr>
      <w:r>
        <w:rPr>
          <w:rFonts w:ascii="Times New Roman" w:hAnsi="Times New Roman" w:eastAsia="宋体"/>
          <w:b w:val="0"/>
          <w:sz w:val="24"/>
        </w:rPr>
        <w:t>(c)</w:t>
      </w:r>
    </w:p>
    <w:p>
      <w:pPr>
        <w:spacing w:line="360" w:lineRule="auto"/>
        <w:ind w:firstLine="480"/>
      </w:pPr>
      <w:r>
        <w:rPr>
          <w:rFonts w:ascii="Times New Roman" w:hAnsi="Times New Roman" w:eastAsia="宋体"/>
          <w:b w:val="0"/>
          <w:sz w:val="24"/>
        </w:rPr>
        <w:t>Bioaccumulative potential;</w:t>
      </w:r>
    </w:p>
    <w:p>
      <w:pPr>
        <w:spacing w:line="360" w:lineRule="auto"/>
        <w:ind w:firstLine="480"/>
      </w:pPr>
      <w:r>
        <w:rPr>
          <w:rFonts w:ascii="Times New Roman" w:hAnsi="Times New Roman" w:eastAsia="宋体"/>
          <w:b w:val="0"/>
          <w:sz w:val="24"/>
        </w:rPr>
        <w:t>(d)</w:t>
      </w:r>
    </w:p>
    <w:p>
      <w:pPr>
        <w:spacing w:line="360" w:lineRule="auto"/>
        <w:ind w:firstLine="480"/>
      </w:pPr>
      <w:r>
        <w:rPr>
          <w:rFonts w:ascii="Times New Roman" w:hAnsi="Times New Roman" w:eastAsia="宋体"/>
          <w:b w:val="0"/>
          <w:sz w:val="24"/>
        </w:rPr>
        <w:t>Mobility in soil;</w:t>
      </w:r>
    </w:p>
    <w:p>
      <w:pPr>
        <w:spacing w:line="360" w:lineRule="auto"/>
        <w:ind w:firstLine="480"/>
      </w:pPr>
      <w:r>
        <w:rPr>
          <w:rFonts w:ascii="Times New Roman" w:hAnsi="Times New Roman" w:eastAsia="宋体"/>
          <w:b w:val="0"/>
          <w:sz w:val="24"/>
        </w:rPr>
        <w:t>(e)</w:t>
      </w:r>
    </w:p>
    <w:p>
      <w:pPr>
        <w:spacing w:line="360" w:lineRule="auto"/>
        <w:ind w:firstLine="480"/>
      </w:pPr>
      <w:r>
        <w:rPr>
          <w:rFonts w:ascii="Times New Roman" w:hAnsi="Times New Roman" w:eastAsia="宋体"/>
          <w:b w:val="0"/>
          <w:sz w:val="24"/>
        </w:rPr>
        <w:t>Other adverse effects.</w:t>
      </w:r>
    </w:p>
    <w:p>
      <w:pPr>
        <w:spacing w:line="360" w:lineRule="auto"/>
        <w:ind w:firstLine="480"/>
      </w:pPr>
      <w:r>
        <w:rPr>
          <w:rFonts w:ascii="Times New Roman" w:hAnsi="Times New Roman" w:eastAsia="宋体"/>
          <w:b w:val="0"/>
          <w:sz w:val="24"/>
        </w:rPr>
        <w:t>These properties should always be listed on the SDS. Species, media, units, test duration and test</w:t>
      </w:r>
    </w:p>
    <w:p>
      <w:pPr>
        <w:spacing w:line="360" w:lineRule="auto"/>
        <w:ind w:firstLine="480"/>
      </w:pPr>
      <w:r>
        <w:rPr>
          <w:rFonts w:ascii="Times New Roman" w:hAnsi="Times New Roman" w:eastAsia="宋体"/>
          <w:b w:val="0"/>
          <w:sz w:val="24"/>
        </w:rPr>
        <w:t>conditions should be clearly indicated. (If data for any of these properties are not available, they should still be listed on</w:t>
      </w:r>
    </w:p>
    <w:p>
      <w:pPr>
        <w:spacing w:line="360" w:lineRule="auto"/>
        <w:ind w:firstLine="480"/>
      </w:pPr>
      <w:r>
        <w:rPr>
          <w:rFonts w:ascii="Times New Roman" w:hAnsi="Times New Roman" w:eastAsia="宋体"/>
          <w:b w:val="0"/>
          <w:sz w:val="24"/>
        </w:rPr>
        <w:t>the SDS with a statement that data are not available).</w:t>
      </w:r>
    </w:p>
    <w:p>
      <w:pPr>
        <w:spacing w:line="360" w:lineRule="auto"/>
        <w:ind w:firstLine="480"/>
      </w:pPr>
      <w:r>
        <w:rPr>
          <w:rFonts w:ascii="Times New Roman" w:hAnsi="Times New Roman" w:eastAsia="宋体"/>
          <w:b w:val="0"/>
          <w:sz w:val="24"/>
        </w:rPr>
        <w:t>- 428 -</w:t>
      </w:r>
    </w:p>
    <w:p>
      <w:pPr>
        <w:spacing w:line="360" w:lineRule="auto"/>
        <w:ind w:firstLine="480"/>
      </w:pPr>
      <w:r>
        <w:rPr>
          <w:rFonts w:ascii="Times New Roman" w:hAnsi="Times New Roman" w:eastAsia="宋体"/>
          <w:b w:val="0"/>
          <w:sz w:val="24"/>
        </w:rPr>
        <w:t>A4.3.12.3</w:t>
      </w:r>
    </w:p>
    <w:p>
      <w:pPr>
        <w:spacing w:line="360" w:lineRule="auto"/>
        <w:ind w:firstLine="480"/>
      </w:pPr>
      <w:r>
        <w:rPr>
          <w:rFonts w:ascii="Times New Roman" w:hAnsi="Times New Roman" w:eastAsia="宋体"/>
          <w:b w:val="0"/>
          <w:sz w:val="24"/>
        </w:rPr>
        <w:t>Some ecotoxicological properties are substance specific, i.e. bioaccumulation, persistence and</w:t>
      </w:r>
    </w:p>
    <w:p>
      <w:pPr>
        <w:spacing w:line="360" w:lineRule="auto"/>
        <w:ind w:firstLine="480"/>
      </w:pPr>
      <w:r>
        <w:rPr>
          <w:rFonts w:ascii="Times New Roman" w:hAnsi="Times New Roman" w:eastAsia="宋体"/>
          <w:b w:val="0"/>
          <w:sz w:val="24"/>
        </w:rPr>
        <w:t>degradability. The information should therefore be given, where available and appropriate, for each relevant ingredient</w:t>
      </w:r>
    </w:p>
    <w:p>
      <w:pPr>
        <w:spacing w:line="360" w:lineRule="auto"/>
        <w:ind w:firstLine="480"/>
      </w:pPr>
      <w:r>
        <w:rPr>
          <w:rFonts w:ascii="Times New Roman" w:hAnsi="Times New Roman" w:eastAsia="宋体"/>
          <w:b w:val="0"/>
          <w:sz w:val="24"/>
        </w:rPr>
        <w:t>of the mixture (i.e. those which are required to be listed in section 3 of the SDS).</w:t>
      </w:r>
    </w:p>
    <w:p>
      <w:pPr>
        <w:spacing w:line="360" w:lineRule="auto"/>
        <w:ind w:firstLine="480"/>
      </w:pPr>
      <w:r>
        <w:rPr>
          <w:rFonts w:ascii="Times New Roman" w:hAnsi="Times New Roman" w:eastAsia="宋体"/>
          <w:b w:val="0"/>
          <w:sz w:val="24"/>
        </w:rPr>
        <w:t>A4.3.12.4</w:t>
      </w:r>
    </w:p>
    <w:p>
      <w:pPr>
        <w:spacing w:line="360" w:lineRule="auto"/>
        <w:ind w:firstLine="480"/>
      </w:pPr>
      <w:r>
        <w:rPr>
          <w:rFonts w:ascii="Times New Roman" w:hAnsi="Times New Roman" w:eastAsia="宋体"/>
          <w:b w:val="0"/>
          <w:sz w:val="24"/>
        </w:rPr>
        <w:t>Provide also a short summary of the data given under A4.3.12.5 to A4.3.12.9 in relation to the hazard</w:t>
      </w:r>
    </w:p>
    <w:p>
      <w:pPr>
        <w:spacing w:line="360" w:lineRule="auto"/>
        <w:ind w:firstLine="480"/>
      </w:pPr>
      <w:r>
        <w:rPr>
          <w:rFonts w:ascii="Times New Roman" w:hAnsi="Times New Roman" w:eastAsia="宋体"/>
          <w:b w:val="0"/>
          <w:sz w:val="24"/>
        </w:rPr>
        <w:t>classification criteria. Where data are not available for classification, this should be clearly stated on the SDS for each</w:t>
      </w:r>
    </w:p>
    <w:p>
      <w:pPr>
        <w:spacing w:line="360" w:lineRule="auto"/>
        <w:ind w:firstLine="480"/>
      </w:pPr>
      <w:r>
        <w:rPr>
          <w:rFonts w:ascii="Times New Roman" w:hAnsi="Times New Roman" w:eastAsia="宋体"/>
          <w:b w:val="0"/>
          <w:sz w:val="24"/>
        </w:rPr>
        <w:t>basic property concerned. Additionally, if data are available showing that the substance or mixture does not meet the</w:t>
      </w:r>
    </w:p>
    <w:p>
      <w:pPr>
        <w:spacing w:line="360" w:lineRule="auto"/>
        <w:ind w:firstLine="480"/>
      </w:pPr>
      <w:r>
        <w:rPr>
          <w:rFonts w:ascii="Times New Roman" w:hAnsi="Times New Roman" w:eastAsia="宋体"/>
          <w:b w:val="0"/>
          <w:sz w:val="24"/>
        </w:rPr>
        <w:t>criteria for classification, it should be stated on the SDS that the substance or mixture has been evaluated and, based on</w:t>
      </w:r>
    </w:p>
    <w:p>
      <w:pPr>
        <w:spacing w:line="360" w:lineRule="auto"/>
        <w:ind w:firstLine="480"/>
      </w:pPr>
      <w:r>
        <w:rPr>
          <w:rFonts w:ascii="Times New Roman" w:hAnsi="Times New Roman" w:eastAsia="宋体"/>
          <w:b w:val="0"/>
          <w:sz w:val="24"/>
        </w:rPr>
        <w:t>available data, does not meet the classification criteria. Additionally, if a substance or mixture is found to be not classified</w:t>
      </w:r>
    </w:p>
    <w:p>
      <w:pPr>
        <w:spacing w:line="360" w:lineRule="auto"/>
        <w:ind w:firstLine="480"/>
      </w:pPr>
      <w:r>
        <w:rPr>
          <w:rFonts w:ascii="Times New Roman" w:hAnsi="Times New Roman" w:eastAsia="宋体"/>
          <w:b w:val="0"/>
          <w:sz w:val="24"/>
        </w:rPr>
        <w:t>for other reasons, for example, due to technical impossibility to obtain the data, or inconclusive data, this should be clearly</w:t>
      </w:r>
    </w:p>
    <w:p>
      <w:pPr>
        <w:spacing w:line="360" w:lineRule="auto"/>
        <w:ind w:firstLine="480"/>
      </w:pPr>
      <w:r>
        <w:rPr>
          <w:rFonts w:ascii="Times New Roman" w:hAnsi="Times New Roman" w:eastAsia="宋体"/>
          <w:b w:val="0"/>
          <w:sz w:val="24"/>
        </w:rPr>
        <w:t>stated on the SDS.</w:t>
      </w:r>
    </w:p>
    <w:p>
      <w:pPr>
        <w:spacing w:line="360" w:lineRule="auto"/>
        <w:ind w:firstLine="480"/>
      </w:pPr>
      <w:r>
        <w:rPr>
          <w:rFonts w:ascii="Times New Roman" w:hAnsi="Times New Roman" w:eastAsia="宋体"/>
          <w:b w:val="0"/>
          <w:sz w:val="24"/>
        </w:rPr>
        <w:t>A4.3.12.5</w:t>
      </w:r>
    </w:p>
    <w:p>
      <w:pPr>
        <w:spacing w:line="360" w:lineRule="auto"/>
        <w:ind w:firstLine="480"/>
      </w:pPr>
      <w:r>
        <w:rPr>
          <w:rFonts w:ascii="Times New Roman" w:hAnsi="Times New Roman" w:eastAsia="宋体"/>
          <w:b w:val="0"/>
          <w:sz w:val="24"/>
        </w:rPr>
        <w:t>Toxicity</w:t>
      </w:r>
    </w:p>
    <w:p>
      <w:pPr>
        <w:spacing w:line="360" w:lineRule="auto"/>
        <w:ind w:firstLine="480"/>
      </w:pPr>
      <w:r>
        <w:rPr>
          <w:rFonts w:ascii="Times New Roman" w:hAnsi="Times New Roman" w:eastAsia="宋体"/>
          <w:b w:val="0"/>
          <w:sz w:val="24"/>
        </w:rPr>
        <w:t>Information on toxicity can be provided using data from tests performed on aquatic and/or terrestrial</w:t>
      </w:r>
    </w:p>
    <w:p>
      <w:pPr>
        <w:spacing w:line="360" w:lineRule="auto"/>
        <w:ind w:firstLine="480"/>
      </w:pPr>
      <w:r>
        <w:rPr>
          <w:rFonts w:ascii="Times New Roman" w:hAnsi="Times New Roman" w:eastAsia="宋体"/>
          <w:b w:val="0"/>
          <w:sz w:val="24"/>
        </w:rPr>
        <w:t>organisms. This should include relevant available data on both acute and chronic aquatic toxicity for fish, crustaceans,</w:t>
      </w:r>
    </w:p>
    <w:p>
      <w:pPr>
        <w:spacing w:line="360" w:lineRule="auto"/>
        <w:ind w:firstLine="480"/>
      </w:pPr>
      <w:r>
        <w:rPr>
          <w:rFonts w:ascii="Times New Roman" w:hAnsi="Times New Roman" w:eastAsia="宋体"/>
          <w:b w:val="0"/>
          <w:sz w:val="24"/>
        </w:rPr>
        <w:t>algae and other aquatic plants. In addition, toxicity data on other organisms (including soil micro-and macro-organisms)</w:t>
      </w:r>
    </w:p>
    <w:p>
      <w:pPr>
        <w:spacing w:line="360" w:lineRule="auto"/>
        <w:ind w:firstLine="480"/>
      </w:pPr>
      <w:r>
        <w:rPr>
          <w:rFonts w:ascii="Times New Roman" w:hAnsi="Times New Roman" w:eastAsia="宋体"/>
          <w:b w:val="0"/>
          <w:sz w:val="24"/>
        </w:rPr>
        <w:t>such as birds, bees and plants, should be included when available. Where the substance or mixture has inhibitory effects</w:t>
      </w:r>
    </w:p>
    <w:p>
      <w:pPr>
        <w:spacing w:line="360" w:lineRule="auto"/>
        <w:ind w:firstLine="480"/>
      </w:pPr>
      <w:r>
        <w:rPr>
          <w:rFonts w:ascii="Times New Roman" w:hAnsi="Times New Roman" w:eastAsia="宋体"/>
          <w:b w:val="0"/>
          <w:sz w:val="24"/>
        </w:rPr>
        <w:t>on the activity of micro-organisms, the possible impact on sewage treatment plants should be mentioned.</w:t>
      </w:r>
    </w:p>
    <w:p>
      <w:pPr>
        <w:spacing w:line="360" w:lineRule="auto"/>
        <w:ind w:firstLine="480"/>
      </w:pPr>
      <w:r>
        <w:rPr>
          <w:rFonts w:ascii="Times New Roman" w:hAnsi="Times New Roman" w:eastAsia="宋体"/>
          <w:b w:val="0"/>
          <w:sz w:val="24"/>
        </w:rPr>
        <w:t>A4.3.12.6</w:t>
      </w:r>
    </w:p>
    <w:p>
      <w:pPr>
        <w:spacing w:line="360" w:lineRule="auto"/>
        <w:ind w:firstLine="480"/>
      </w:pPr>
      <w:r>
        <w:rPr>
          <w:rFonts w:ascii="Times New Roman" w:hAnsi="Times New Roman" w:eastAsia="宋体"/>
          <w:b w:val="0"/>
          <w:sz w:val="24"/>
        </w:rPr>
        <w:t>Persistence and degradability</w:t>
      </w:r>
    </w:p>
    <w:p>
      <w:pPr>
        <w:spacing w:line="360" w:lineRule="auto"/>
        <w:ind w:firstLine="480"/>
      </w:pPr>
      <w:r>
        <w:rPr>
          <w:rFonts w:ascii="Times New Roman" w:hAnsi="Times New Roman" w:eastAsia="宋体"/>
          <w:b w:val="0"/>
          <w:sz w:val="24"/>
        </w:rPr>
        <w:t>Persistence and degradability is the potential for the substance or the appropriate constituents of a</w:t>
      </w:r>
    </w:p>
    <w:p>
      <w:pPr>
        <w:spacing w:line="360" w:lineRule="auto"/>
        <w:ind w:firstLine="480"/>
      </w:pPr>
      <w:r>
        <w:rPr>
          <w:rFonts w:ascii="Times New Roman" w:hAnsi="Times New Roman" w:eastAsia="宋体"/>
          <w:b w:val="0"/>
          <w:sz w:val="24"/>
        </w:rPr>
        <w:t>mixture to degrade in the environment, either through biodegradation or other processes, such as oxidation or hydrolysis.</w:t>
      </w:r>
    </w:p>
    <w:p>
      <w:pPr>
        <w:spacing w:line="360" w:lineRule="auto"/>
        <w:ind w:firstLine="480"/>
      </w:pPr>
      <w:r>
        <w:rPr>
          <w:rFonts w:ascii="Times New Roman" w:hAnsi="Times New Roman" w:eastAsia="宋体"/>
          <w:b w:val="0"/>
          <w:sz w:val="24"/>
        </w:rPr>
        <w:t>Test results relevant to assess persistence and degradability should be given where available. If degradation half-lives are</w:t>
      </w:r>
    </w:p>
    <w:p>
      <w:pPr>
        <w:spacing w:line="360" w:lineRule="auto"/>
        <w:ind w:firstLine="480"/>
      </w:pPr>
      <w:r>
        <w:rPr>
          <w:rFonts w:ascii="Times New Roman" w:hAnsi="Times New Roman" w:eastAsia="宋体"/>
          <w:b w:val="0"/>
          <w:sz w:val="24"/>
        </w:rPr>
        <w:t>quoted it must be indicated whether these half-lives refer to mineralization or to primary degradation. The potential of the</w:t>
      </w:r>
    </w:p>
    <w:p>
      <w:pPr>
        <w:spacing w:line="360" w:lineRule="auto"/>
        <w:ind w:firstLine="480"/>
      </w:pPr>
      <w:r>
        <w:rPr>
          <w:rFonts w:ascii="Times New Roman" w:hAnsi="Times New Roman" w:eastAsia="宋体"/>
          <w:b w:val="0"/>
          <w:sz w:val="24"/>
        </w:rPr>
        <w:t>substance or certain constituents (see also A4.3.12.8) of a mixture to degrade in sewage treatment plants should also be</w:t>
      </w:r>
    </w:p>
    <w:p>
      <w:pPr>
        <w:spacing w:line="360" w:lineRule="auto"/>
        <w:ind w:firstLine="480"/>
      </w:pPr>
      <w:r>
        <w:rPr>
          <w:rFonts w:ascii="Times New Roman" w:hAnsi="Times New Roman" w:eastAsia="宋体"/>
          <w:b w:val="0"/>
          <w:sz w:val="24"/>
        </w:rPr>
        <w:t>mentioned.</w:t>
      </w:r>
    </w:p>
    <w:p>
      <w:pPr>
        <w:spacing w:line="360" w:lineRule="auto"/>
        <w:ind w:firstLine="480"/>
      </w:pPr>
      <w:r>
        <w:rPr>
          <w:rFonts w:ascii="Times New Roman" w:hAnsi="Times New Roman" w:eastAsia="宋体"/>
          <w:b w:val="0"/>
          <w:sz w:val="24"/>
        </w:rPr>
        <w:t>A4.3.12.7</w:t>
      </w:r>
    </w:p>
    <w:p>
      <w:pPr>
        <w:spacing w:line="360" w:lineRule="auto"/>
        <w:ind w:firstLine="480"/>
      </w:pPr>
      <w:r>
        <w:rPr>
          <w:rFonts w:ascii="Times New Roman" w:hAnsi="Times New Roman" w:eastAsia="宋体"/>
          <w:b w:val="0"/>
          <w:sz w:val="24"/>
        </w:rPr>
        <w:t>Bioaccumulative potential</w:t>
      </w:r>
    </w:p>
    <w:p>
      <w:pPr>
        <w:spacing w:line="360" w:lineRule="auto"/>
        <w:ind w:firstLine="480"/>
      </w:pPr>
      <w:r>
        <w:rPr>
          <w:rFonts w:ascii="Times New Roman" w:hAnsi="Times New Roman" w:eastAsia="宋体"/>
          <w:b w:val="0"/>
          <w:sz w:val="24"/>
        </w:rPr>
        <w:t>Bioaccumulation is the potential for the substance or certain constituents of a mixture to accumulate in</w:t>
      </w:r>
    </w:p>
    <w:p>
      <w:pPr>
        <w:spacing w:line="360" w:lineRule="auto"/>
        <w:ind w:firstLine="480"/>
      </w:pPr>
      <w:r>
        <w:rPr>
          <w:rFonts w:ascii="Times New Roman" w:hAnsi="Times New Roman" w:eastAsia="宋体"/>
          <w:b w:val="0"/>
          <w:sz w:val="24"/>
        </w:rPr>
        <w:t>biota and, possibly, pass through the food chain. Test results relevant to assess the bioaccumulative potential should be</w:t>
      </w:r>
    </w:p>
    <w:p>
      <w:pPr>
        <w:spacing w:line="360" w:lineRule="auto"/>
        <w:ind w:firstLine="480"/>
      </w:pPr>
      <w:r>
        <w:rPr>
          <w:rFonts w:ascii="Times New Roman" w:hAnsi="Times New Roman" w:eastAsia="宋体"/>
          <w:b w:val="0"/>
          <w:sz w:val="24"/>
        </w:rPr>
        <w:t>given. This should include reference to the octanol-water partition coefficient (Kow) and bioconcentration factor (BCF),</w:t>
      </w:r>
    </w:p>
    <w:p>
      <w:pPr>
        <w:spacing w:line="360" w:lineRule="auto"/>
        <w:ind w:firstLine="480"/>
      </w:pPr>
      <w:r>
        <w:rPr>
          <w:rFonts w:ascii="Times New Roman" w:hAnsi="Times New Roman" w:eastAsia="宋体"/>
          <w:b w:val="0"/>
          <w:sz w:val="24"/>
        </w:rPr>
        <w:t>if available.</w:t>
      </w:r>
    </w:p>
    <w:p>
      <w:pPr>
        <w:spacing w:line="360" w:lineRule="auto"/>
        <w:ind w:firstLine="480"/>
      </w:pPr>
      <w:r>
        <w:rPr>
          <w:rFonts w:ascii="Times New Roman" w:hAnsi="Times New Roman" w:eastAsia="宋体"/>
          <w:b w:val="0"/>
          <w:sz w:val="24"/>
        </w:rPr>
        <w:t>A4.3.12.8</w:t>
      </w:r>
    </w:p>
    <w:p>
      <w:pPr>
        <w:spacing w:line="360" w:lineRule="auto"/>
        <w:ind w:firstLine="480"/>
      </w:pPr>
      <w:r>
        <w:rPr>
          <w:rFonts w:ascii="Times New Roman" w:hAnsi="Times New Roman" w:eastAsia="宋体"/>
          <w:b w:val="0"/>
          <w:sz w:val="24"/>
        </w:rPr>
        <w:t>Mobility in soil</w:t>
      </w:r>
    </w:p>
    <w:p>
      <w:pPr>
        <w:spacing w:line="360" w:lineRule="auto"/>
        <w:ind w:firstLine="480"/>
      </w:pPr>
      <w:r>
        <w:rPr>
          <w:rFonts w:ascii="Times New Roman" w:hAnsi="Times New Roman" w:eastAsia="宋体"/>
          <w:b w:val="0"/>
          <w:sz w:val="24"/>
        </w:rPr>
        <w:t>Mobility in soil is the potential of a substance or the constituents of a mixture, if released to the</w:t>
      </w:r>
    </w:p>
    <w:p>
      <w:pPr>
        <w:spacing w:line="360" w:lineRule="auto"/>
        <w:ind w:firstLine="480"/>
      </w:pPr>
      <w:r>
        <w:rPr>
          <w:rFonts w:ascii="Times New Roman" w:hAnsi="Times New Roman" w:eastAsia="宋体"/>
          <w:b w:val="0"/>
          <w:sz w:val="24"/>
        </w:rPr>
        <w:t>environment, to move under natural forces to the groundwater or to a distance from the site of release. The potential for</w:t>
      </w:r>
    </w:p>
    <w:p>
      <w:pPr>
        <w:spacing w:line="360" w:lineRule="auto"/>
        <w:ind w:firstLine="480"/>
      </w:pPr>
      <w:r>
        <w:rPr>
          <w:rFonts w:ascii="Times New Roman" w:hAnsi="Times New Roman" w:eastAsia="宋体"/>
          <w:b w:val="0"/>
          <w:sz w:val="24"/>
        </w:rPr>
        <w:t>mobility in soil should be given where available. Information on mobility can be determined from relevant mobility data</w:t>
      </w:r>
    </w:p>
    <w:p>
      <w:pPr>
        <w:spacing w:line="360" w:lineRule="auto"/>
        <w:ind w:firstLine="480"/>
      </w:pPr>
      <w:r>
        <w:rPr>
          <w:rFonts w:ascii="Times New Roman" w:hAnsi="Times New Roman" w:eastAsia="宋体"/>
          <w:b w:val="0"/>
          <w:sz w:val="24"/>
        </w:rPr>
        <w:t>such as adsorption studies or leaching studies. For example, Koc values can be predicted from octanol/water partition</w:t>
      </w:r>
    </w:p>
    <w:p>
      <w:pPr>
        <w:spacing w:line="360" w:lineRule="auto"/>
        <w:ind w:firstLine="480"/>
      </w:pPr>
      <w:r>
        <w:rPr>
          <w:rFonts w:ascii="Times New Roman" w:hAnsi="Times New Roman" w:eastAsia="宋体"/>
          <w:b w:val="0"/>
          <w:sz w:val="24"/>
        </w:rPr>
        <w:t>coefficients (Kow). Leaching and mobility can be predicted from models.</w:t>
      </w:r>
    </w:p>
    <w:p>
      <w:pPr>
        <w:spacing w:line="360" w:lineRule="auto"/>
        <w:ind w:firstLine="480"/>
      </w:pPr>
      <w:r>
        <w:rPr>
          <w:rFonts w:ascii="Times New Roman" w:hAnsi="Times New Roman" w:eastAsia="宋体"/>
          <w:b w:val="0"/>
          <w:sz w:val="24"/>
        </w:rPr>
        <w:t>NOTE:</w:t>
      </w:r>
    </w:p>
    <w:p>
      <w:pPr>
        <w:spacing w:line="360" w:lineRule="auto"/>
        <w:ind w:firstLine="480"/>
      </w:pPr>
      <w:r>
        <w:rPr>
          <w:rFonts w:ascii="Times New Roman" w:hAnsi="Times New Roman" w:eastAsia="宋体"/>
          <w:b w:val="0"/>
          <w:sz w:val="24"/>
        </w:rPr>
        <w:t>Where real data on the substance or mixture is available this data will take precedence over models</w:t>
      </w:r>
    </w:p>
    <w:p>
      <w:pPr>
        <w:spacing w:line="360" w:lineRule="auto"/>
        <w:ind w:firstLine="480"/>
      </w:pPr>
      <w:r>
        <w:rPr>
          <w:rFonts w:ascii="Times New Roman" w:hAnsi="Times New Roman" w:eastAsia="宋体"/>
          <w:b w:val="0"/>
          <w:sz w:val="24"/>
        </w:rPr>
        <w:t>and predictions.</w:t>
      </w:r>
    </w:p>
    <w:p>
      <w:pPr>
        <w:spacing w:line="360" w:lineRule="auto"/>
        <w:ind w:firstLine="480"/>
      </w:pPr>
      <w:r>
        <w:rPr>
          <w:rFonts w:ascii="Times New Roman" w:hAnsi="Times New Roman" w:eastAsia="宋体"/>
          <w:b w:val="0"/>
          <w:sz w:val="24"/>
        </w:rPr>
        <w:t>A4.3.12.9</w:t>
      </w:r>
    </w:p>
    <w:p>
      <w:pPr>
        <w:spacing w:line="360" w:lineRule="auto"/>
        <w:ind w:firstLine="480"/>
      </w:pPr>
      <w:r>
        <w:rPr>
          <w:rFonts w:ascii="Times New Roman" w:hAnsi="Times New Roman" w:eastAsia="宋体"/>
          <w:b w:val="0"/>
          <w:sz w:val="24"/>
        </w:rPr>
        <w:t>Other adverse effects</w:t>
      </w:r>
    </w:p>
    <w:p>
      <w:pPr>
        <w:spacing w:line="360" w:lineRule="auto"/>
        <w:ind w:firstLine="480"/>
      </w:pPr>
      <w:r>
        <w:rPr>
          <w:rFonts w:ascii="Times New Roman" w:hAnsi="Times New Roman" w:eastAsia="宋体"/>
          <w:b w:val="0"/>
          <w:sz w:val="24"/>
        </w:rPr>
        <w:t>Information on any other adverse effects to the environment should be included where available, such</w:t>
      </w:r>
    </w:p>
    <w:p>
      <w:pPr>
        <w:spacing w:line="360" w:lineRule="auto"/>
        <w:ind w:firstLine="480"/>
      </w:pPr>
      <w:r>
        <w:rPr>
          <w:rFonts w:ascii="Times New Roman" w:hAnsi="Times New Roman" w:eastAsia="宋体"/>
          <w:b w:val="0"/>
          <w:sz w:val="24"/>
        </w:rPr>
        <w:t>as environmental fate (exposure), ozone depletion potential, photochemical ozone creation potential, endocrine disrupting</w:t>
      </w:r>
    </w:p>
    <w:p>
      <w:pPr>
        <w:spacing w:line="360" w:lineRule="auto"/>
        <w:ind w:firstLine="480"/>
      </w:pPr>
      <w:r>
        <w:rPr>
          <w:rFonts w:ascii="Times New Roman" w:hAnsi="Times New Roman" w:eastAsia="宋体"/>
          <w:b w:val="0"/>
          <w:sz w:val="24"/>
        </w:rPr>
        <w:t>potential and/or global warming potential.</w:t>
      </w:r>
    </w:p>
    <w:p>
      <w:pPr>
        <w:spacing w:line="360" w:lineRule="auto"/>
        <w:ind w:firstLine="480"/>
      </w:pPr>
      <w:r>
        <w:rPr>
          <w:rFonts w:ascii="Times New Roman" w:hAnsi="Times New Roman" w:eastAsia="宋体"/>
          <w:b w:val="0"/>
          <w:sz w:val="24"/>
        </w:rPr>
        <w:t>A4.3.13</w:t>
      </w:r>
    </w:p>
    <w:p>
      <w:pPr>
        <w:spacing w:line="360" w:lineRule="auto"/>
        <w:ind w:firstLine="480"/>
      </w:pPr>
      <w:r>
        <w:rPr>
          <w:rFonts w:ascii="Times New Roman" w:hAnsi="Times New Roman" w:eastAsia="宋体"/>
          <w:b w:val="0"/>
          <w:sz w:val="24"/>
        </w:rPr>
        <w:t>SECTION 13: Disposal considerations</w:t>
      </w:r>
    </w:p>
    <w:p>
      <w:pPr>
        <w:spacing w:line="360" w:lineRule="auto"/>
        <w:ind w:firstLine="480"/>
      </w:pPr>
      <w:r>
        <w:rPr>
          <w:rFonts w:ascii="Times New Roman" w:hAnsi="Times New Roman" w:eastAsia="宋体"/>
          <w:b w:val="0"/>
          <w:sz w:val="24"/>
        </w:rPr>
        <w:t>A4.3.13.1</w:t>
      </w:r>
    </w:p>
    <w:p>
      <w:pPr>
        <w:spacing w:line="360" w:lineRule="auto"/>
        <w:ind w:firstLine="480"/>
      </w:pPr>
      <w:r>
        <w:rPr>
          <w:rFonts w:ascii="Times New Roman" w:hAnsi="Times New Roman" w:eastAsia="宋体"/>
          <w:b w:val="0"/>
          <w:sz w:val="24"/>
        </w:rPr>
        <w:t>Disposal methods</w:t>
      </w:r>
    </w:p>
    <w:p>
      <w:pPr>
        <w:spacing w:line="360" w:lineRule="auto"/>
        <w:ind w:firstLine="480"/>
      </w:pPr>
      <w:r>
        <w:rPr>
          <w:rFonts w:ascii="Times New Roman" w:hAnsi="Times New Roman" w:eastAsia="宋体"/>
          <w:b w:val="0"/>
          <w:sz w:val="24"/>
        </w:rPr>
        <w:t>A4.3.13.1.1</w:t>
      </w:r>
    </w:p>
    <w:p>
      <w:pPr>
        <w:spacing w:line="360" w:lineRule="auto"/>
        <w:ind w:firstLine="480"/>
      </w:pPr>
      <w:r>
        <w:rPr>
          <w:rFonts w:ascii="Times New Roman" w:hAnsi="Times New Roman" w:eastAsia="宋体"/>
          <w:b w:val="0"/>
          <w:sz w:val="24"/>
        </w:rPr>
        <w:t>Provide information for proper disposal, recycling or reclamation of the substance or mixture and/or its</w:t>
      </w:r>
    </w:p>
    <w:p>
      <w:pPr>
        <w:spacing w:line="360" w:lineRule="auto"/>
        <w:ind w:firstLine="480"/>
      </w:pPr>
      <w:r>
        <w:rPr>
          <w:rFonts w:ascii="Times New Roman" w:hAnsi="Times New Roman" w:eastAsia="宋体"/>
          <w:b w:val="0"/>
          <w:sz w:val="24"/>
        </w:rPr>
        <w:t>container to assist in the determination of safe and environmentally preferred waste management options, consistent with</w:t>
      </w:r>
    </w:p>
    <w:p>
      <w:pPr>
        <w:spacing w:line="360" w:lineRule="auto"/>
        <w:ind w:firstLine="480"/>
      </w:pPr>
      <w:r>
        <w:rPr>
          <w:rFonts w:ascii="Times New Roman" w:hAnsi="Times New Roman" w:eastAsia="宋体"/>
          <w:b w:val="0"/>
          <w:sz w:val="24"/>
        </w:rPr>
        <w:t>the requirements of the national competent authority. For the safety of persons conducting disposal, recycling or</w:t>
      </w:r>
    </w:p>
    <w:p>
      <w:pPr>
        <w:spacing w:line="360" w:lineRule="auto"/>
        <w:ind w:firstLine="480"/>
      </w:pPr>
      <w:r>
        <w:rPr>
          <w:rFonts w:ascii="Times New Roman" w:hAnsi="Times New Roman" w:eastAsia="宋体"/>
          <w:b w:val="0"/>
          <w:sz w:val="24"/>
        </w:rPr>
        <w:t>reclamation activities, please refer to the information in section 8 (exposure controls and personal protection) of the SDS.</w:t>
      </w:r>
    </w:p>
    <w:p>
      <w:pPr>
        <w:spacing w:line="360" w:lineRule="auto"/>
        <w:ind w:firstLine="480"/>
      </w:pPr>
      <w:r>
        <w:rPr>
          <w:rFonts w:ascii="Times New Roman" w:hAnsi="Times New Roman" w:eastAsia="宋体"/>
          <w:b w:val="0"/>
          <w:sz w:val="24"/>
        </w:rPr>
        <w:t>- 429 -</w:t>
      </w:r>
    </w:p>
    <w:p>
      <w:pPr>
        <w:spacing w:line="360" w:lineRule="auto"/>
        <w:ind w:firstLine="480"/>
      </w:pPr>
      <w:r>
        <w:rPr>
          <w:rFonts w:ascii="Times New Roman" w:hAnsi="Times New Roman" w:eastAsia="宋体"/>
          <w:b w:val="0"/>
          <w:sz w:val="24"/>
        </w:rPr>
        <w:t>A4.3.13.1.2</w:t>
      </w:r>
    </w:p>
    <w:p>
      <w:pPr>
        <w:spacing w:line="360" w:lineRule="auto"/>
        <w:ind w:firstLine="480"/>
      </w:pPr>
      <w:r>
        <w:rPr>
          <w:rFonts w:ascii="Times New Roman" w:hAnsi="Times New Roman" w:eastAsia="宋体"/>
          <w:b w:val="0"/>
          <w:sz w:val="24"/>
        </w:rPr>
        <w:t>Specify disposal containers and methods.</w:t>
      </w:r>
    </w:p>
    <w:p>
      <w:pPr>
        <w:spacing w:line="360" w:lineRule="auto"/>
        <w:ind w:firstLine="480"/>
      </w:pPr>
      <w:r>
        <w:rPr>
          <w:rFonts w:ascii="Times New Roman" w:hAnsi="Times New Roman" w:eastAsia="宋体"/>
          <w:b w:val="0"/>
          <w:sz w:val="24"/>
        </w:rPr>
        <w:t>A4.3.13.1.3</w:t>
      </w:r>
    </w:p>
    <w:p>
      <w:pPr>
        <w:spacing w:line="360" w:lineRule="auto"/>
        <w:ind w:firstLine="480"/>
      </w:pPr>
      <w:r>
        <w:rPr>
          <w:rFonts w:ascii="Times New Roman" w:hAnsi="Times New Roman" w:eastAsia="宋体"/>
          <w:b w:val="0"/>
          <w:sz w:val="24"/>
        </w:rPr>
        <w:t>Discuss physical/chemical properties that may affect disposal options.</w:t>
      </w:r>
    </w:p>
    <w:p>
      <w:pPr>
        <w:spacing w:line="360" w:lineRule="auto"/>
        <w:ind w:firstLine="480"/>
      </w:pPr>
      <w:r>
        <w:rPr>
          <w:rFonts w:ascii="Times New Roman" w:hAnsi="Times New Roman" w:eastAsia="宋体"/>
          <w:b w:val="0"/>
          <w:sz w:val="24"/>
        </w:rPr>
        <w:t>A4.3.13.1.4</w:t>
      </w:r>
    </w:p>
    <w:p>
      <w:pPr>
        <w:spacing w:line="360" w:lineRule="auto"/>
        <w:ind w:firstLine="480"/>
      </w:pPr>
      <w:r>
        <w:rPr>
          <w:rFonts w:ascii="Times New Roman" w:hAnsi="Times New Roman" w:eastAsia="宋体"/>
          <w:b w:val="0"/>
          <w:sz w:val="24"/>
        </w:rPr>
        <w:t>Discourage sewage disposal.</w:t>
      </w:r>
    </w:p>
    <w:p>
      <w:pPr>
        <w:spacing w:line="360" w:lineRule="auto"/>
        <w:ind w:firstLine="480"/>
      </w:pPr>
      <w:r>
        <w:rPr>
          <w:rFonts w:ascii="Times New Roman" w:hAnsi="Times New Roman" w:eastAsia="宋体"/>
          <w:b w:val="0"/>
          <w:sz w:val="24"/>
        </w:rPr>
        <w:t>A4.3.13.1.5</w:t>
      </w:r>
    </w:p>
    <w:p>
      <w:pPr>
        <w:spacing w:line="360" w:lineRule="auto"/>
        <w:ind w:firstLine="480"/>
      </w:pPr>
      <w:r>
        <w:rPr>
          <w:rFonts w:ascii="Times New Roman" w:hAnsi="Times New Roman" w:eastAsia="宋体"/>
          <w:b w:val="0"/>
          <w:sz w:val="24"/>
        </w:rPr>
        <w:t>Where appropriate, identify any special precautions for incineration or landfill.</w:t>
      </w:r>
    </w:p>
    <w:p>
      <w:pPr>
        <w:spacing w:line="360" w:lineRule="auto"/>
        <w:ind w:firstLine="480"/>
      </w:pPr>
      <w:r>
        <w:rPr>
          <w:rFonts w:ascii="Times New Roman" w:hAnsi="Times New Roman" w:eastAsia="宋体"/>
          <w:b w:val="0"/>
          <w:sz w:val="24"/>
        </w:rPr>
        <w:t>A4.3.14</w:t>
      </w:r>
    </w:p>
    <w:p>
      <w:pPr>
        <w:spacing w:line="360" w:lineRule="auto"/>
        <w:ind w:firstLine="480"/>
      </w:pPr>
      <w:r>
        <w:rPr>
          <w:rFonts w:ascii="Times New Roman" w:hAnsi="Times New Roman" w:eastAsia="宋体"/>
          <w:b w:val="0"/>
          <w:sz w:val="24"/>
        </w:rPr>
        <w:t>SECTION 14: Transport information</w:t>
      </w:r>
    </w:p>
    <w:p>
      <w:pPr>
        <w:spacing w:line="360" w:lineRule="auto"/>
        <w:ind w:firstLine="480"/>
      </w:pPr>
      <w:r>
        <w:rPr>
          <w:rFonts w:ascii="Times New Roman" w:hAnsi="Times New Roman" w:eastAsia="宋体"/>
          <w:b w:val="0"/>
          <w:sz w:val="24"/>
        </w:rPr>
        <w:t>This section provides basic classification information for the transporting/shipment of a hazardous</w:t>
      </w:r>
    </w:p>
    <w:p>
      <w:pPr>
        <w:spacing w:line="360" w:lineRule="auto"/>
        <w:ind w:firstLine="480"/>
      </w:pPr>
      <w:r>
        <w:rPr>
          <w:rFonts w:ascii="Times New Roman" w:hAnsi="Times New Roman" w:eastAsia="宋体"/>
          <w:b w:val="0"/>
          <w:sz w:val="24"/>
        </w:rPr>
        <w:t>substance or mixture by road, rail, sea or air. Where information is not available or relevant this should be stated.</w:t>
      </w:r>
    </w:p>
    <w:p>
      <w:pPr>
        <w:spacing w:line="360" w:lineRule="auto"/>
        <w:ind w:firstLine="480"/>
      </w:pPr>
      <w:r>
        <w:rPr>
          <w:rFonts w:ascii="Times New Roman" w:hAnsi="Times New Roman" w:eastAsia="宋体"/>
          <w:b w:val="0"/>
          <w:sz w:val="24"/>
        </w:rPr>
        <w:t>A4.3.14.1</w:t>
      </w:r>
    </w:p>
    <w:p>
      <w:pPr>
        <w:spacing w:line="360" w:lineRule="auto"/>
        <w:ind w:firstLine="480"/>
      </w:pPr>
      <w:r>
        <w:rPr>
          <w:rFonts w:ascii="Times New Roman" w:hAnsi="Times New Roman" w:eastAsia="宋体"/>
          <w:b w:val="0"/>
          <w:sz w:val="24"/>
        </w:rPr>
        <w:t>UN Number</w:t>
      </w:r>
    </w:p>
    <w:p>
      <w:pPr>
        <w:spacing w:line="360" w:lineRule="auto"/>
        <w:ind w:firstLine="480"/>
      </w:pPr>
      <w:r>
        <w:rPr>
          <w:rFonts w:ascii="Times New Roman" w:hAnsi="Times New Roman" w:eastAsia="宋体"/>
          <w:b w:val="0"/>
          <w:sz w:val="24"/>
        </w:rPr>
        <w:t>Provide the UN Number (i.e. four-figure identification number of the substance or article) from the UN</w:t>
      </w:r>
    </w:p>
    <w:p>
      <w:pPr>
        <w:spacing w:line="360" w:lineRule="auto"/>
        <w:ind w:firstLine="480"/>
      </w:pPr>
      <w:r>
        <w:rPr>
          <w:rFonts w:ascii="Times New Roman" w:hAnsi="Times New Roman" w:eastAsia="宋体"/>
          <w:b w:val="0"/>
          <w:sz w:val="24"/>
        </w:rPr>
        <w:t>Model Regulations 4.</w:t>
      </w:r>
    </w:p>
    <w:p>
      <w:pPr>
        <w:spacing w:line="360" w:lineRule="auto"/>
        <w:ind w:firstLine="480"/>
      </w:pPr>
      <w:r>
        <w:rPr>
          <w:rFonts w:ascii="Times New Roman" w:hAnsi="Times New Roman" w:eastAsia="宋体"/>
          <w:b w:val="0"/>
          <w:sz w:val="24"/>
        </w:rPr>
        <w:t>A4.3.14.2</w:t>
      </w:r>
    </w:p>
    <w:p>
      <w:pPr>
        <w:spacing w:line="360" w:lineRule="auto"/>
        <w:ind w:firstLine="480"/>
      </w:pPr>
      <w:r>
        <w:rPr>
          <w:rFonts w:ascii="Times New Roman" w:hAnsi="Times New Roman" w:eastAsia="宋体"/>
          <w:b w:val="0"/>
          <w:sz w:val="24"/>
        </w:rPr>
        <w:t>UN Proper Shipping Name</w:t>
      </w:r>
    </w:p>
    <w:p>
      <w:pPr>
        <w:spacing w:line="360" w:lineRule="auto"/>
        <w:ind w:firstLine="480"/>
      </w:pPr>
      <w:r>
        <w:rPr>
          <w:rFonts w:ascii="Times New Roman" w:hAnsi="Times New Roman" w:eastAsia="宋体"/>
          <w:b w:val="0"/>
          <w:sz w:val="24"/>
        </w:rPr>
        <w:t>Provide the UN proper shipping name from the UN Model Regulations. For substances or mixtures the</w:t>
      </w:r>
    </w:p>
    <w:p>
      <w:pPr>
        <w:spacing w:line="360" w:lineRule="auto"/>
        <w:ind w:firstLine="480"/>
      </w:pPr>
      <w:r>
        <w:rPr>
          <w:rFonts w:ascii="Times New Roman" w:hAnsi="Times New Roman" w:eastAsia="宋体"/>
          <w:b w:val="0"/>
          <w:sz w:val="24"/>
        </w:rPr>
        <w:t>UN proper shipping name should be provided in this subsection if it has not appeared as the GHS product identifier or</w:t>
      </w:r>
    </w:p>
    <w:p>
      <w:pPr>
        <w:spacing w:line="360" w:lineRule="auto"/>
        <w:ind w:firstLine="480"/>
      </w:pPr>
      <w:r>
        <w:rPr>
          <w:rFonts w:ascii="Times New Roman" w:hAnsi="Times New Roman" w:eastAsia="宋体"/>
          <w:b w:val="0"/>
          <w:sz w:val="24"/>
        </w:rPr>
        <w:t>national or regional identifiers.</w:t>
      </w:r>
    </w:p>
    <w:p>
      <w:pPr>
        <w:spacing w:line="360" w:lineRule="auto"/>
        <w:ind w:firstLine="480"/>
      </w:pPr>
      <w:r>
        <w:rPr>
          <w:rFonts w:ascii="Times New Roman" w:hAnsi="Times New Roman" w:eastAsia="宋体"/>
          <w:b w:val="0"/>
          <w:sz w:val="24"/>
        </w:rPr>
        <w:t>A4.3.14.3</w:t>
      </w:r>
    </w:p>
    <w:p>
      <w:pPr>
        <w:spacing w:line="360" w:lineRule="auto"/>
        <w:ind w:firstLine="480"/>
      </w:pPr>
      <w:r>
        <w:rPr>
          <w:rFonts w:ascii="Times New Roman" w:hAnsi="Times New Roman" w:eastAsia="宋体"/>
          <w:b w:val="0"/>
          <w:sz w:val="24"/>
        </w:rPr>
        <w:t>Transport hazard class(es)</w:t>
      </w:r>
    </w:p>
    <w:p>
      <w:pPr>
        <w:spacing w:line="360" w:lineRule="auto"/>
        <w:ind w:firstLine="480"/>
      </w:pPr>
      <w:r>
        <w:rPr>
          <w:rFonts w:ascii="Times New Roman" w:hAnsi="Times New Roman" w:eastAsia="宋体"/>
          <w:b w:val="0"/>
          <w:sz w:val="24"/>
        </w:rPr>
        <w:t>Provide the transport class (and subsidiary risks) assigned to the substances or mixtures according to</w:t>
      </w:r>
    </w:p>
    <w:p>
      <w:pPr>
        <w:spacing w:line="360" w:lineRule="auto"/>
        <w:ind w:firstLine="480"/>
      </w:pPr>
      <w:r>
        <w:rPr>
          <w:rFonts w:ascii="Times New Roman" w:hAnsi="Times New Roman" w:eastAsia="宋体"/>
          <w:b w:val="0"/>
          <w:sz w:val="24"/>
        </w:rPr>
        <w:t>the most predominant hazard that they present in accordance with the UN Model Regulations.</w:t>
      </w:r>
    </w:p>
    <w:p>
      <w:pPr>
        <w:spacing w:line="360" w:lineRule="auto"/>
        <w:ind w:firstLine="480"/>
      </w:pPr>
      <w:r>
        <w:rPr>
          <w:rFonts w:ascii="Times New Roman" w:hAnsi="Times New Roman" w:eastAsia="宋体"/>
          <w:b w:val="0"/>
          <w:sz w:val="24"/>
        </w:rPr>
        <w:t>A4.3.14.4</w:t>
      </w:r>
    </w:p>
    <w:p>
      <w:pPr>
        <w:spacing w:line="360" w:lineRule="auto"/>
        <w:ind w:firstLine="480"/>
      </w:pPr>
      <w:r>
        <w:rPr>
          <w:rFonts w:ascii="Times New Roman" w:hAnsi="Times New Roman" w:eastAsia="宋体"/>
          <w:b w:val="0"/>
          <w:sz w:val="24"/>
        </w:rPr>
        <w:t>Packing group, if applicable</w:t>
      </w:r>
    </w:p>
    <w:p>
      <w:pPr>
        <w:spacing w:line="360" w:lineRule="auto"/>
        <w:ind w:firstLine="480"/>
      </w:pPr>
      <w:r>
        <w:rPr>
          <w:rFonts w:ascii="Times New Roman" w:hAnsi="Times New Roman" w:eastAsia="宋体"/>
          <w:b w:val="0"/>
          <w:sz w:val="24"/>
        </w:rPr>
        <w:t>Provide the packing group number from the UN Model Regulations, if applicable. The packing group</w:t>
      </w:r>
    </w:p>
    <w:p>
      <w:pPr>
        <w:spacing w:line="360" w:lineRule="auto"/>
        <w:ind w:firstLine="480"/>
      </w:pPr>
      <w:r>
        <w:rPr>
          <w:rFonts w:ascii="Times New Roman" w:hAnsi="Times New Roman" w:eastAsia="宋体"/>
          <w:b w:val="0"/>
          <w:sz w:val="24"/>
        </w:rPr>
        <w:t>number is assigned to certain substances in accordance with their degree of hazard.</w:t>
      </w:r>
    </w:p>
    <w:p>
      <w:pPr>
        <w:spacing w:line="360" w:lineRule="auto"/>
        <w:ind w:firstLine="480"/>
      </w:pPr>
      <w:r>
        <w:rPr>
          <w:rFonts w:ascii="Times New Roman" w:hAnsi="Times New Roman" w:eastAsia="宋体"/>
          <w:b w:val="0"/>
          <w:sz w:val="24"/>
        </w:rPr>
        <w:t>A4.3.14.5</w:t>
      </w:r>
    </w:p>
    <w:p>
      <w:pPr>
        <w:spacing w:line="360" w:lineRule="auto"/>
        <w:ind w:firstLine="480"/>
      </w:pPr>
      <w:r>
        <w:rPr>
          <w:rFonts w:ascii="Times New Roman" w:hAnsi="Times New Roman" w:eastAsia="宋体"/>
          <w:b w:val="0"/>
          <w:sz w:val="24"/>
        </w:rPr>
        <w:t>Environmental hazards</w:t>
      </w:r>
    </w:p>
    <w:p>
      <w:pPr>
        <w:spacing w:line="360" w:lineRule="auto"/>
        <w:ind w:firstLine="480"/>
      </w:pPr>
      <w:r>
        <w:rPr>
          <w:rFonts w:ascii="Times New Roman" w:hAnsi="Times New Roman" w:eastAsia="宋体"/>
          <w:b w:val="0"/>
          <w:sz w:val="24"/>
        </w:rPr>
        <w:t>Indicate whether the substance or mixture is a known marine pollutant according to the IMDG Code,</w:t>
      </w:r>
    </w:p>
    <w:p>
      <w:pPr>
        <w:spacing w:line="360" w:lineRule="auto"/>
        <w:ind w:firstLine="480"/>
      </w:pPr>
      <w:r>
        <w:rPr>
          <w:rFonts w:ascii="Times New Roman" w:hAnsi="Times New Roman" w:eastAsia="宋体"/>
          <w:b w:val="0"/>
          <w:sz w:val="24"/>
        </w:rPr>
        <w:t>and if so, whether it is a “marine pollutant” or a “severe marine pollutant”. Also indicate whether the substance or mixture</w:t>
      </w:r>
    </w:p>
    <w:p>
      <w:pPr>
        <w:spacing w:line="360" w:lineRule="auto"/>
        <w:ind w:firstLine="480"/>
      </w:pPr>
      <w:r>
        <w:rPr>
          <w:rFonts w:ascii="Times New Roman" w:hAnsi="Times New Roman" w:eastAsia="宋体"/>
          <w:b w:val="0"/>
          <w:sz w:val="24"/>
        </w:rPr>
        <w:t>is environmentally hazardous according to the UN Model Regulations, ADR, RID and ADN.</w:t>
      </w:r>
    </w:p>
    <w:p>
      <w:pPr>
        <w:spacing w:line="360" w:lineRule="auto"/>
        <w:ind w:firstLine="480"/>
      </w:pPr>
      <w:r>
        <w:rPr>
          <w:rFonts w:ascii="Times New Roman" w:hAnsi="Times New Roman" w:eastAsia="宋体"/>
          <w:b w:val="0"/>
          <w:sz w:val="24"/>
        </w:rPr>
        <w:t>A4.3.14.6</w:t>
      </w:r>
    </w:p>
    <w:p>
      <w:pPr>
        <w:spacing w:line="360" w:lineRule="auto"/>
        <w:ind w:firstLine="480"/>
      </w:pPr>
      <w:r>
        <w:rPr>
          <w:rFonts w:ascii="Times New Roman" w:hAnsi="Times New Roman" w:eastAsia="宋体"/>
          <w:b w:val="0"/>
          <w:sz w:val="24"/>
        </w:rPr>
        <w:t>Special precautions for user</w:t>
      </w:r>
    </w:p>
    <w:p>
      <w:pPr>
        <w:spacing w:line="360" w:lineRule="auto"/>
        <w:ind w:firstLine="480"/>
      </w:pPr>
      <w:r>
        <w:rPr>
          <w:rFonts w:ascii="Times New Roman" w:hAnsi="Times New Roman" w:eastAsia="宋体"/>
          <w:b w:val="0"/>
          <w:sz w:val="24"/>
        </w:rPr>
        <w:t>Provide information on any special precautions, which a user needs to be aware of, or needs to comply</w:t>
      </w:r>
    </w:p>
    <w:p>
      <w:pPr>
        <w:spacing w:line="360" w:lineRule="auto"/>
        <w:ind w:firstLine="480"/>
      </w:pPr>
      <w:r>
        <w:rPr>
          <w:rFonts w:ascii="Times New Roman" w:hAnsi="Times New Roman" w:eastAsia="宋体"/>
          <w:b w:val="0"/>
          <w:sz w:val="24"/>
        </w:rPr>
        <w:t>with in connection with transport.</w:t>
      </w:r>
    </w:p>
    <w:p>
      <w:pPr>
        <w:spacing w:line="360" w:lineRule="auto"/>
        <w:ind w:firstLine="480"/>
      </w:pPr>
      <w:r>
        <w:rPr>
          <w:rFonts w:ascii="Times New Roman" w:hAnsi="Times New Roman" w:eastAsia="宋体"/>
          <w:b w:val="0"/>
          <w:sz w:val="24"/>
        </w:rPr>
        <w:t>A4.3.14.7</w:t>
      </w:r>
    </w:p>
    <w:p>
      <w:pPr>
        <w:spacing w:line="360" w:lineRule="auto"/>
        <w:ind w:firstLine="480"/>
      </w:pPr>
      <w:r>
        <w:rPr>
          <w:rFonts w:ascii="Times New Roman" w:hAnsi="Times New Roman" w:eastAsia="宋体"/>
          <w:b w:val="0"/>
          <w:sz w:val="24"/>
        </w:rPr>
        <w:t>Transport in bulk according to IMO instruments</w:t>
      </w:r>
    </w:p>
    <w:p>
      <w:pPr>
        <w:spacing w:line="360" w:lineRule="auto"/>
        <w:ind w:firstLine="480"/>
      </w:pPr>
      <w:r>
        <w:rPr>
          <w:rFonts w:ascii="Times New Roman" w:hAnsi="Times New Roman" w:eastAsia="宋体"/>
          <w:b w:val="0"/>
          <w:sz w:val="24"/>
        </w:rPr>
        <w:t>This subsection only applies when cargoes are intended to be carried in bulk according to IMO</w:t>
      </w:r>
    </w:p>
    <w:p>
      <w:pPr>
        <w:spacing w:line="360" w:lineRule="auto"/>
        <w:ind w:firstLine="480"/>
      </w:pPr>
      <w:r>
        <w:rPr>
          <w:rFonts w:ascii="Times New Roman" w:hAnsi="Times New Roman" w:eastAsia="宋体"/>
          <w:b w:val="0"/>
          <w:sz w:val="24"/>
        </w:rPr>
        <w:t>instruments: e.g. chapter VI or VII of SOLAS Annex II or Annex V of MARPOL, the IBC Code, the IMSBC Code and</w:t>
      </w:r>
    </w:p>
    <w:p>
      <w:pPr>
        <w:spacing w:line="360" w:lineRule="auto"/>
        <w:ind w:firstLine="480"/>
      </w:pPr>
      <w:r>
        <w:rPr>
          <w:rFonts w:ascii="Times New Roman" w:hAnsi="Times New Roman" w:eastAsia="宋体"/>
          <w:b w:val="0"/>
          <w:sz w:val="24"/>
        </w:rPr>
        <w:t>the IGC Code (or earlier versions, i.e.: EGC Code or GC Code).</w:t>
      </w:r>
    </w:p>
    <w:p>
      <w:pPr>
        <w:spacing w:line="360" w:lineRule="auto"/>
        <w:ind w:firstLine="480"/>
      </w:pPr>
      <w:r>
        <w:rPr>
          <w:rFonts w:ascii="Times New Roman" w:hAnsi="Times New Roman" w:eastAsia="宋体"/>
          <w:b w:val="0"/>
          <w:sz w:val="24"/>
        </w:rPr>
        <w:t>For liquid bulk cargoes, provide the product name (if name is different to that given in A4.3.1.1) as</w:t>
      </w:r>
    </w:p>
    <w:p>
      <w:pPr>
        <w:spacing w:line="360" w:lineRule="auto"/>
        <w:ind w:firstLine="480"/>
      </w:pPr>
      <w:r>
        <w:rPr>
          <w:rFonts w:ascii="Times New Roman" w:hAnsi="Times New Roman" w:eastAsia="宋体"/>
          <w:b w:val="0"/>
          <w:sz w:val="24"/>
        </w:rPr>
        <w:t>required by the shipment document and in accordance with the name used in the lists of product names given in chapters</w:t>
      </w:r>
    </w:p>
    <w:p>
      <w:pPr>
        <w:spacing w:line="360" w:lineRule="auto"/>
        <w:ind w:firstLine="480"/>
      </w:pPr>
      <w:r>
        <w:rPr>
          <w:rFonts w:ascii="Times New Roman" w:hAnsi="Times New Roman" w:eastAsia="宋体"/>
          <w:b w:val="0"/>
          <w:sz w:val="24"/>
        </w:rPr>
        <w:t>17 or 18 of the IBC Code or the latest edition of the IMO’s MEPC.2/Circular. Indicate ship type required and pollution</w:t>
      </w:r>
    </w:p>
    <w:p>
      <w:pPr>
        <w:spacing w:line="360" w:lineRule="auto"/>
        <w:ind w:firstLine="480"/>
      </w:pPr>
      <w:r>
        <w:rPr>
          <w:rFonts w:ascii="Times New Roman" w:hAnsi="Times New Roman" w:eastAsia="宋体"/>
          <w:b w:val="0"/>
          <w:sz w:val="24"/>
        </w:rPr>
        <w:t>category.</w:t>
      </w:r>
    </w:p>
    <w:p>
      <w:pPr>
        <w:spacing w:line="360" w:lineRule="auto"/>
        <w:ind w:firstLine="480"/>
      </w:pPr>
      <w:r>
        <w:rPr>
          <w:rFonts w:ascii="Times New Roman" w:hAnsi="Times New Roman" w:eastAsia="宋体"/>
          <w:b w:val="0"/>
          <w:sz w:val="24"/>
        </w:rPr>
        <w:t>For solid bulk cargoes, provide the bulk cargo shipping name, whether or not the cargo is considered</w:t>
      </w:r>
    </w:p>
    <w:p>
      <w:pPr>
        <w:spacing w:line="360" w:lineRule="auto"/>
        <w:ind w:firstLine="480"/>
      </w:pPr>
      <w:r>
        <w:rPr>
          <w:rFonts w:ascii="Times New Roman" w:hAnsi="Times New Roman" w:eastAsia="宋体"/>
          <w:b w:val="0"/>
          <w:sz w:val="24"/>
        </w:rPr>
        <w:t>harmful to the marine environment (HME) according to MARPOL Annex V, whether it is a material hazardous only in</w:t>
      </w:r>
    </w:p>
    <w:p>
      <w:pPr>
        <w:spacing w:line="360" w:lineRule="auto"/>
        <w:ind w:firstLine="480"/>
      </w:pPr>
      <w:r>
        <w:rPr>
          <w:rFonts w:ascii="Times New Roman" w:hAnsi="Times New Roman" w:eastAsia="宋体"/>
          <w:b w:val="0"/>
          <w:sz w:val="24"/>
        </w:rPr>
        <w:t>bulk (MHB) according to the IMSBC Code, and which group it should be shipped according to the IMSBC.</w:t>
      </w:r>
    </w:p>
    <w:p>
      <w:pPr>
        <w:spacing w:line="360" w:lineRule="auto"/>
        <w:ind w:firstLine="480"/>
      </w:pPr>
      <w:r>
        <w:rPr>
          <w:rFonts w:ascii="Times New Roman" w:hAnsi="Times New Roman" w:eastAsia="宋体"/>
          <w:b w:val="0"/>
          <w:sz w:val="24"/>
        </w:rPr>
        <w:t>For liquefied gas cargoes in bulk provide the product name and ship type according to the IGC Code</w:t>
      </w:r>
    </w:p>
    <w:p>
      <w:pPr>
        <w:spacing w:line="360" w:lineRule="auto"/>
        <w:ind w:firstLine="480"/>
      </w:pPr>
      <w:r>
        <w:rPr>
          <w:rFonts w:ascii="Times New Roman" w:hAnsi="Times New Roman" w:eastAsia="宋体"/>
          <w:b w:val="0"/>
          <w:sz w:val="24"/>
        </w:rPr>
        <w:t>(or earlier versions, i.e.: EGC Code or GC Code).</w:t>
      </w:r>
    </w:p>
    <w:p>
      <w:pPr>
        <w:spacing w:line="360" w:lineRule="auto"/>
        <w:ind w:firstLine="480"/>
      </w:pPr>
      <w:r>
        <w:rPr>
          <w:rFonts w:ascii="Times New Roman" w:hAnsi="Times New Roman" w:eastAsia="宋体"/>
          <w:b w:val="0"/>
          <w:sz w:val="24"/>
        </w:rPr>
        <w:t>- 430 -</w:t>
      </w:r>
    </w:p>
    <w:p>
      <w:pPr>
        <w:spacing w:line="360" w:lineRule="auto"/>
        <w:ind w:firstLine="480"/>
      </w:pPr>
      <w:r>
        <w:rPr>
          <w:rFonts w:ascii="Times New Roman" w:hAnsi="Times New Roman" w:eastAsia="宋体"/>
          <w:b w:val="0"/>
          <w:sz w:val="24"/>
        </w:rPr>
        <w:t>A4.3.15</w:t>
      </w:r>
    </w:p>
    <w:p>
      <w:pPr>
        <w:spacing w:line="360" w:lineRule="auto"/>
        <w:ind w:firstLine="480"/>
      </w:pPr>
      <w:r>
        <w:rPr>
          <w:rFonts w:ascii="Times New Roman" w:hAnsi="Times New Roman" w:eastAsia="宋体"/>
          <w:b w:val="0"/>
          <w:sz w:val="24"/>
        </w:rPr>
        <w:t>SECTION 15: Regulatory information</w:t>
      </w:r>
    </w:p>
    <w:p>
      <w:pPr>
        <w:spacing w:line="360" w:lineRule="auto"/>
        <w:ind w:firstLine="480"/>
      </w:pPr>
      <w:r>
        <w:rPr>
          <w:rFonts w:ascii="Times New Roman" w:hAnsi="Times New Roman" w:eastAsia="宋体"/>
          <w:b w:val="0"/>
          <w:sz w:val="24"/>
        </w:rPr>
        <w:t>Describe any other regulatory information on the substance or mixture that is not provided elsewhere</w:t>
      </w:r>
    </w:p>
    <w:p>
      <w:pPr>
        <w:spacing w:line="360" w:lineRule="auto"/>
        <w:ind w:firstLine="480"/>
      </w:pPr>
      <w:r>
        <w:rPr>
          <w:rFonts w:ascii="Times New Roman" w:hAnsi="Times New Roman" w:eastAsia="宋体"/>
          <w:b w:val="0"/>
          <w:sz w:val="24"/>
        </w:rPr>
        <w:t>in the SDS (e.g. whether the substance or mixture is subject to the Montreal Protocol, the Stockholm Convention or the</w:t>
      </w:r>
    </w:p>
    <w:p>
      <w:pPr>
        <w:spacing w:line="360" w:lineRule="auto"/>
        <w:ind w:firstLine="480"/>
      </w:pPr>
      <w:r>
        <w:rPr>
          <w:rFonts w:ascii="Times New Roman" w:hAnsi="Times New Roman" w:eastAsia="宋体"/>
          <w:b w:val="0"/>
          <w:sz w:val="24"/>
        </w:rPr>
        <w:t>Rotterdam Convention).</w:t>
      </w:r>
    </w:p>
    <w:p>
      <w:pPr>
        <w:spacing w:line="360" w:lineRule="auto"/>
        <w:ind w:firstLine="480"/>
      </w:pPr>
      <w:r>
        <w:rPr>
          <w:rFonts w:ascii="Times New Roman" w:hAnsi="Times New Roman" w:eastAsia="宋体"/>
          <w:b w:val="0"/>
          <w:sz w:val="24"/>
        </w:rPr>
        <w:t>A4.3.15.1</w:t>
      </w:r>
    </w:p>
    <w:p>
      <w:pPr>
        <w:spacing w:line="360" w:lineRule="auto"/>
        <w:ind w:firstLine="480"/>
      </w:pPr>
      <w:r>
        <w:rPr>
          <w:rFonts w:ascii="Times New Roman" w:hAnsi="Times New Roman" w:eastAsia="宋体"/>
          <w:b w:val="0"/>
          <w:sz w:val="24"/>
        </w:rPr>
        <w:t>Safety, health and environmental regulations specific for the product in question</w:t>
      </w:r>
    </w:p>
    <w:p>
      <w:pPr>
        <w:spacing w:line="360" w:lineRule="auto"/>
        <w:ind w:firstLine="480"/>
      </w:pPr>
      <w:r>
        <w:rPr>
          <w:rFonts w:ascii="Times New Roman" w:hAnsi="Times New Roman" w:eastAsia="宋体"/>
          <w:b w:val="0"/>
          <w:sz w:val="24"/>
        </w:rPr>
        <w:t>Provide relevant national and/or regional information on the regulatory status of the substance or</w:t>
      </w:r>
    </w:p>
    <w:p>
      <w:pPr>
        <w:spacing w:line="360" w:lineRule="auto"/>
        <w:ind w:firstLine="480"/>
      </w:pPr>
      <w:r>
        <w:rPr>
          <w:rFonts w:ascii="Times New Roman" w:hAnsi="Times New Roman" w:eastAsia="宋体"/>
          <w:b w:val="0"/>
          <w:sz w:val="24"/>
        </w:rPr>
        <w:t>mixture (including its ingredients) under relevant safety, health and environmental regulations. This should include</w:t>
      </w:r>
    </w:p>
    <w:p>
      <w:pPr>
        <w:spacing w:line="360" w:lineRule="auto"/>
        <w:ind w:firstLine="480"/>
      </w:pPr>
      <w:r>
        <w:rPr>
          <w:rFonts w:ascii="Times New Roman" w:hAnsi="Times New Roman" w:eastAsia="宋体"/>
          <w:b w:val="0"/>
          <w:sz w:val="24"/>
        </w:rPr>
        <w:t>whether the substance is subject to any prohibitions or restrictions in the country or region into which it is being supplied.</w:t>
      </w:r>
    </w:p>
    <w:p>
      <w:pPr>
        <w:spacing w:line="360" w:lineRule="auto"/>
        <w:ind w:firstLine="480"/>
      </w:pPr>
      <w:r>
        <w:rPr>
          <w:rFonts w:ascii="Times New Roman" w:hAnsi="Times New Roman" w:eastAsia="宋体"/>
          <w:b w:val="0"/>
          <w:sz w:val="24"/>
        </w:rPr>
        <w:t>A4.3.16</w:t>
      </w:r>
    </w:p>
    <w:p>
      <w:pPr>
        <w:spacing w:line="360" w:lineRule="auto"/>
        <w:ind w:firstLine="480"/>
      </w:pPr>
      <w:r>
        <w:rPr>
          <w:rFonts w:ascii="Times New Roman" w:hAnsi="Times New Roman" w:eastAsia="宋体"/>
          <w:b w:val="0"/>
          <w:sz w:val="24"/>
        </w:rPr>
        <w:t>SECTION 16: Other information</w:t>
      </w:r>
    </w:p>
    <w:p>
      <w:pPr>
        <w:spacing w:line="360" w:lineRule="auto"/>
        <w:ind w:firstLine="480"/>
      </w:pPr>
      <w:r>
        <w:rPr>
          <w:rFonts w:ascii="Times New Roman" w:hAnsi="Times New Roman" w:eastAsia="宋体"/>
          <w:b w:val="0"/>
          <w:sz w:val="24"/>
        </w:rPr>
        <w:t>Provide information relevant to the preparation of the SDS in this section. This should incorporate other</w:t>
      </w:r>
    </w:p>
    <w:p>
      <w:pPr>
        <w:spacing w:line="360" w:lineRule="auto"/>
        <w:ind w:firstLine="480"/>
      </w:pPr>
      <w:r>
        <w:rPr>
          <w:rFonts w:ascii="Times New Roman" w:hAnsi="Times New Roman" w:eastAsia="宋体"/>
          <w:b w:val="0"/>
          <w:sz w:val="24"/>
        </w:rPr>
        <w:t>information that does not belong in sections 1 to 15 of the SDS, including information on preparation and revision of the</w:t>
      </w:r>
    </w:p>
    <w:p>
      <w:pPr>
        <w:spacing w:line="360" w:lineRule="auto"/>
        <w:ind w:firstLine="480"/>
      </w:pPr>
      <w:r>
        <w:rPr>
          <w:rFonts w:ascii="Times New Roman" w:hAnsi="Times New Roman" w:eastAsia="宋体"/>
          <w:b w:val="0"/>
          <w:sz w:val="24"/>
        </w:rPr>
        <w:t>SDS such as:</w:t>
      </w:r>
    </w:p>
    <w:p>
      <w:pPr>
        <w:spacing w:line="360" w:lineRule="auto"/>
        <w:ind w:firstLine="480"/>
      </w:pPr>
      <w:r>
        <w:rPr>
          <w:rFonts w:ascii="Times New Roman" w:hAnsi="Times New Roman" w:eastAsia="宋体"/>
          <w:b w:val="0"/>
          <w:sz w:val="24"/>
        </w:rPr>
        <w:t>(a)</w:t>
      </w:r>
    </w:p>
    <w:p>
      <w:pPr>
        <w:spacing w:line="360" w:lineRule="auto"/>
        <w:ind w:firstLine="480"/>
      </w:pPr>
      <w:r>
        <w:rPr>
          <w:rFonts w:ascii="Times New Roman" w:hAnsi="Times New Roman" w:eastAsia="宋体"/>
          <w:b w:val="0"/>
          <w:sz w:val="24"/>
        </w:rPr>
        <w:t>the date of preparation of the latest revision of the SDS. When revisions are made to an SDS,</w:t>
      </w:r>
    </w:p>
    <w:p>
      <w:pPr>
        <w:spacing w:line="360" w:lineRule="auto"/>
        <w:ind w:firstLine="480"/>
      </w:pPr>
      <w:r>
        <w:rPr>
          <w:rFonts w:ascii="Times New Roman" w:hAnsi="Times New Roman" w:eastAsia="宋体"/>
          <w:b w:val="0"/>
          <w:sz w:val="24"/>
        </w:rPr>
        <w:t>unless it has been indicated elsewhere, clearly indicate where the changes have been made to the</w:t>
      </w:r>
    </w:p>
    <w:p>
      <w:pPr>
        <w:spacing w:line="360" w:lineRule="auto"/>
        <w:ind w:firstLine="480"/>
      </w:pPr>
      <w:r>
        <w:rPr>
          <w:rFonts w:ascii="Times New Roman" w:hAnsi="Times New Roman" w:eastAsia="宋体"/>
          <w:b w:val="0"/>
          <w:sz w:val="24"/>
        </w:rPr>
        <w:t>previous version of the SDS. Suppliers should maintain an explanation of the changes and be</w:t>
      </w:r>
    </w:p>
    <w:p>
      <w:pPr>
        <w:spacing w:line="360" w:lineRule="auto"/>
        <w:ind w:firstLine="480"/>
      </w:pPr>
      <w:r>
        <w:rPr>
          <w:rFonts w:ascii="Times New Roman" w:hAnsi="Times New Roman" w:eastAsia="宋体"/>
          <w:b w:val="0"/>
          <w:sz w:val="24"/>
        </w:rPr>
        <w:t>willing to provide it upon request;</w:t>
      </w:r>
    </w:p>
    <w:p>
      <w:pPr>
        <w:spacing w:line="360" w:lineRule="auto"/>
        <w:ind w:firstLine="480"/>
      </w:pPr>
      <w:r>
        <w:rPr>
          <w:rFonts w:ascii="Times New Roman" w:hAnsi="Times New Roman" w:eastAsia="宋体"/>
          <w:b w:val="0"/>
          <w:sz w:val="24"/>
        </w:rPr>
        <w:t>(b)</w:t>
      </w:r>
    </w:p>
    <w:p>
      <w:pPr>
        <w:spacing w:line="360" w:lineRule="auto"/>
        <w:ind w:firstLine="480"/>
      </w:pPr>
      <w:r>
        <w:rPr>
          <w:rFonts w:ascii="Times New Roman" w:hAnsi="Times New Roman" w:eastAsia="宋体"/>
          <w:b w:val="0"/>
          <w:sz w:val="24"/>
        </w:rPr>
        <w:t>a key/legend to abbreviations and acronyms used in the SDS; and</w:t>
      </w:r>
    </w:p>
    <w:p>
      <w:pPr>
        <w:spacing w:line="360" w:lineRule="auto"/>
        <w:ind w:firstLine="480"/>
      </w:pPr>
      <w:r>
        <w:rPr>
          <w:rFonts w:ascii="Times New Roman" w:hAnsi="Times New Roman" w:eastAsia="宋体"/>
          <w:b w:val="0"/>
          <w:sz w:val="24"/>
        </w:rPr>
        <w:t>(c)</w:t>
      </w:r>
    </w:p>
    <w:p>
      <w:pPr>
        <w:spacing w:line="360" w:lineRule="auto"/>
        <w:ind w:firstLine="480"/>
      </w:pPr>
      <w:r>
        <w:rPr>
          <w:rFonts w:ascii="Times New Roman" w:hAnsi="Times New Roman" w:eastAsia="宋体"/>
          <w:b w:val="0"/>
          <w:sz w:val="24"/>
        </w:rPr>
        <w:t>key literature references and sources for data used to compile the SDS.</w:t>
      </w:r>
    </w:p>
    <w:p>
      <w:pPr>
        <w:spacing w:line="360" w:lineRule="auto"/>
        <w:ind w:firstLine="480"/>
      </w:pPr>
      <w:r>
        <w:rPr>
          <w:rFonts w:ascii="Times New Roman" w:hAnsi="Times New Roman" w:eastAsia="宋体"/>
          <w:b w:val="0"/>
          <w:sz w:val="24"/>
        </w:rPr>
        <w:t>NOTE:</w:t>
      </w:r>
    </w:p>
    <w:p>
      <w:pPr>
        <w:spacing w:line="360" w:lineRule="auto"/>
        <w:ind w:firstLine="480"/>
      </w:pPr>
      <w:r>
        <w:rPr>
          <w:rFonts w:ascii="Times New Roman" w:hAnsi="Times New Roman" w:eastAsia="宋体"/>
          <w:b w:val="0"/>
          <w:sz w:val="24"/>
        </w:rPr>
        <w:t>While references are not necessary in SDS’s, references may be included in this section if desired.</w:t>
      </w:r>
    </w:p>
    <w:p>
      <w:pPr>
        <w:spacing w:line="360" w:lineRule="auto"/>
        <w:ind w:firstLine="480"/>
      </w:pPr>
      <w:r>
        <w:rPr>
          <w:rFonts w:ascii="Times New Roman" w:hAnsi="Times New Roman" w:eastAsia="宋体"/>
          <w:b w:val="0"/>
          <w:sz w:val="24"/>
        </w:rPr>
        <w:t>- 431 -</w:t>
      </w:r>
    </w:p>
    <w:p>
      <w:pPr>
        <w:spacing w:line="360" w:lineRule="auto"/>
        <w:ind w:firstLine="480"/>
      </w:pPr>
      <w:r>
        <w:rPr>
          <w:rFonts w:ascii="Times New Roman" w:hAnsi="Times New Roman" w:eastAsia="宋体"/>
          <w:b w:val="0"/>
          <w:sz w:val="24"/>
        </w:rPr>
        <w:t>ANNEX 5</w:t>
      </w:r>
    </w:p>
    <w:p>
      <w:pPr>
        <w:spacing w:line="360" w:lineRule="auto"/>
        <w:ind w:firstLine="480"/>
      </w:pPr>
      <w:r>
        <w:rPr>
          <w:rFonts w:ascii="Times New Roman" w:hAnsi="Times New Roman" w:eastAsia="宋体"/>
          <w:b w:val="0"/>
          <w:sz w:val="24"/>
        </w:rPr>
        <w:t>CONSUMER PRODUCT LABELLING</w:t>
      </w:r>
    </w:p>
    <w:p>
      <w:pPr>
        <w:spacing w:line="360" w:lineRule="auto"/>
        <w:ind w:firstLine="480"/>
      </w:pPr>
      <w:r>
        <w:rPr>
          <w:rFonts w:ascii="Times New Roman" w:hAnsi="Times New Roman" w:eastAsia="宋体"/>
          <w:b w:val="0"/>
          <w:sz w:val="24"/>
        </w:rPr>
        <w:t>BASED ON THE LIKELIHOOD OF</w:t>
      </w:r>
    </w:p>
    <w:p>
      <w:pPr>
        <w:spacing w:line="360" w:lineRule="auto"/>
        <w:ind w:firstLine="480"/>
      </w:pPr>
      <w:r>
        <w:rPr>
          <w:rFonts w:ascii="Times New Roman" w:hAnsi="Times New Roman" w:eastAsia="宋体"/>
          <w:b w:val="0"/>
          <w:sz w:val="24"/>
        </w:rPr>
        <w:t>INJURY</w:t>
      </w:r>
    </w:p>
    <w:p>
      <w:pPr>
        <w:spacing w:line="360" w:lineRule="auto"/>
        <w:ind w:firstLine="480"/>
      </w:pPr>
      <w:r>
        <w:rPr>
          <w:rFonts w:ascii="Times New Roman" w:hAnsi="Times New Roman" w:eastAsia="宋体"/>
          <w:b w:val="0"/>
          <w:sz w:val="24"/>
        </w:rPr>
        <w:t>- 433 -</w:t>
      </w:r>
    </w:p>
    <w:p>
      <w:pPr>
        <w:spacing w:line="360" w:lineRule="auto"/>
        <w:ind w:firstLine="480"/>
      </w:pPr>
      <w:r>
        <w:rPr>
          <w:rFonts w:ascii="Times New Roman" w:hAnsi="Times New Roman" w:eastAsia="宋体"/>
          <w:b w:val="0"/>
          <w:sz w:val="24"/>
        </w:rPr>
        <w:t>ANNEX 5</w:t>
      </w:r>
    </w:p>
    <w:p>
      <w:pPr>
        <w:spacing w:line="360" w:lineRule="auto"/>
        <w:ind w:firstLine="480"/>
      </w:pPr>
      <w:r>
        <w:rPr>
          <w:rFonts w:ascii="Times New Roman" w:hAnsi="Times New Roman" w:eastAsia="宋体"/>
          <w:b w:val="0"/>
          <w:sz w:val="24"/>
        </w:rPr>
        <w:t>CONSUMER PRODUCT LABELLING BASED</w:t>
      </w:r>
    </w:p>
    <w:p>
      <w:pPr>
        <w:spacing w:line="360" w:lineRule="auto"/>
        <w:ind w:firstLine="480"/>
      </w:pPr>
      <w:r>
        <w:rPr>
          <w:rFonts w:ascii="Times New Roman" w:hAnsi="Times New Roman" w:eastAsia="宋体"/>
          <w:b w:val="0"/>
          <w:sz w:val="24"/>
        </w:rPr>
        <w:t>ON THE LIKELIHOOD OF INJURY</w:t>
      </w:r>
    </w:p>
    <w:p>
      <w:pPr>
        <w:spacing w:line="360" w:lineRule="auto"/>
        <w:ind w:firstLine="480"/>
      </w:pPr>
      <w:r>
        <w:rPr>
          <w:rFonts w:ascii="Times New Roman" w:hAnsi="Times New Roman" w:eastAsia="宋体"/>
          <w:b w:val="0"/>
          <w:sz w:val="24"/>
        </w:rPr>
        <w:t>A5.1</w:t>
      </w:r>
    </w:p>
    <w:p>
      <w:pPr>
        <w:spacing w:line="360" w:lineRule="auto"/>
        <w:ind w:firstLine="480"/>
      </w:pPr>
      <w:r>
        <w:rPr>
          <w:rFonts w:ascii="Times New Roman" w:hAnsi="Times New Roman" w:eastAsia="宋体"/>
          <w:b w:val="0"/>
          <w:sz w:val="24"/>
        </w:rPr>
        <w:t>Introduction</w:t>
      </w:r>
    </w:p>
    <w:p>
      <w:pPr>
        <w:spacing w:line="360" w:lineRule="auto"/>
        <w:ind w:firstLine="480"/>
      </w:pPr>
      <w:r>
        <w:rPr>
          <w:rFonts w:ascii="Times New Roman" w:hAnsi="Times New Roman" w:eastAsia="宋体"/>
          <w:b w:val="0"/>
          <w:sz w:val="24"/>
        </w:rPr>
        <w:t>A5.1.1</w:t>
      </w:r>
    </w:p>
    <w:p>
      <w:pPr>
        <w:spacing w:line="360" w:lineRule="auto"/>
        <w:ind w:firstLine="480"/>
      </w:pPr>
      <w:r>
        <w:rPr>
          <w:rFonts w:ascii="Times New Roman" w:hAnsi="Times New Roman" w:eastAsia="宋体"/>
          <w:b w:val="0"/>
          <w:sz w:val="24"/>
        </w:rPr>
        <w:t>The Globally Harmonized System of Classification and Labelling of Chemicals is based on an</w:t>
      </w:r>
    </w:p>
    <w:p>
      <w:pPr>
        <w:spacing w:line="360" w:lineRule="auto"/>
        <w:ind w:firstLine="480"/>
      </w:pPr>
      <w:r>
        <w:rPr>
          <w:rFonts w:ascii="Times New Roman" w:hAnsi="Times New Roman" w:eastAsia="宋体"/>
          <w:b w:val="0"/>
          <w:sz w:val="24"/>
        </w:rPr>
        <w:t>assessment of the intrinsic hazardous properties of the chemicals involved. However, it has been recognized that some</w:t>
      </w:r>
    </w:p>
    <w:p>
      <w:pPr>
        <w:spacing w:line="360" w:lineRule="auto"/>
        <w:ind w:firstLine="480"/>
      </w:pPr>
      <w:r>
        <w:rPr>
          <w:rFonts w:ascii="Times New Roman" w:hAnsi="Times New Roman" w:eastAsia="宋体"/>
          <w:b w:val="0"/>
          <w:sz w:val="24"/>
        </w:rPr>
        <w:t>systems provide information about chronic health hazards in consumer products only after considering additional data</w:t>
      </w:r>
    </w:p>
    <w:p>
      <w:pPr>
        <w:spacing w:line="360" w:lineRule="auto"/>
        <w:ind w:firstLine="480"/>
      </w:pPr>
      <w:r>
        <w:rPr>
          <w:rFonts w:ascii="Times New Roman" w:hAnsi="Times New Roman" w:eastAsia="宋体"/>
          <w:b w:val="0"/>
          <w:sz w:val="24"/>
        </w:rPr>
        <w:t>regarding potential exposures to consumers under normal conditions of use or foreseeable misuse. These systems thus</w:t>
      </w:r>
    </w:p>
    <w:p>
      <w:pPr>
        <w:spacing w:line="360" w:lineRule="auto"/>
        <w:ind w:firstLine="480"/>
      </w:pPr>
      <w:r>
        <w:rPr>
          <w:rFonts w:ascii="Times New Roman" w:hAnsi="Times New Roman" w:eastAsia="宋体"/>
          <w:b w:val="0"/>
          <w:sz w:val="24"/>
        </w:rPr>
        <w:t>provide information based on an assessment of risk, or the likelihood of injury occurring from exposure to these products.</w:t>
      </w:r>
    </w:p>
    <w:p>
      <w:pPr>
        <w:spacing w:line="360" w:lineRule="auto"/>
        <w:ind w:firstLine="480"/>
      </w:pPr>
      <w:r>
        <w:rPr>
          <w:rFonts w:ascii="Times New Roman" w:hAnsi="Times New Roman" w:eastAsia="宋体"/>
          <w:b w:val="0"/>
          <w:sz w:val="24"/>
        </w:rPr>
        <w:t>Where this exposure assessment and determination of likelihood of injury reveal that the potential for harm to occur as a</w:t>
      </w:r>
    </w:p>
    <w:p>
      <w:pPr>
        <w:spacing w:line="360" w:lineRule="auto"/>
        <w:ind w:firstLine="480"/>
      </w:pPr>
      <w:r>
        <w:rPr>
          <w:rFonts w:ascii="Times New Roman" w:hAnsi="Times New Roman" w:eastAsia="宋体"/>
          <w:b w:val="0"/>
          <w:sz w:val="24"/>
        </w:rPr>
        <w:t>result of the expected exposures is insignificant, chronic health hazards may not be included on the product label for</w:t>
      </w:r>
    </w:p>
    <w:p>
      <w:pPr>
        <w:spacing w:line="360" w:lineRule="auto"/>
        <w:ind w:firstLine="480"/>
      </w:pPr>
      <w:r>
        <w:rPr>
          <w:rFonts w:ascii="Times New Roman" w:hAnsi="Times New Roman" w:eastAsia="宋体"/>
          <w:b w:val="0"/>
          <w:sz w:val="24"/>
        </w:rPr>
        <w:t>consumer use. This type of system was recognized in a paper clarifying the scope of the GHS work in 19981:</w:t>
      </w:r>
    </w:p>
    <w:p>
      <w:pPr>
        <w:spacing w:line="360" w:lineRule="auto"/>
        <w:ind w:firstLine="480"/>
      </w:pPr>
      <w:r>
        <w:rPr>
          <w:rFonts w:ascii="Times New Roman" w:hAnsi="Times New Roman" w:eastAsia="宋体"/>
          <w:b w:val="0"/>
          <w:sz w:val="24"/>
        </w:rPr>
        <w:t>“The application of the components of the system may vary by type of product or stage of the life cycle. Once a chemical</w:t>
      </w:r>
    </w:p>
    <w:p>
      <w:pPr>
        <w:spacing w:line="360" w:lineRule="auto"/>
        <w:ind w:firstLine="480"/>
      </w:pPr>
      <w:r>
        <w:rPr>
          <w:rFonts w:ascii="Times New Roman" w:hAnsi="Times New Roman" w:eastAsia="宋体"/>
          <w:b w:val="0"/>
          <w:sz w:val="24"/>
        </w:rPr>
        <w:t>is classified, the likelihood of adverse effects may be considered in deciding what informational or other steps should be</w:t>
      </w:r>
    </w:p>
    <w:p>
      <w:pPr>
        <w:spacing w:line="360" w:lineRule="auto"/>
        <w:ind w:firstLine="480"/>
      </w:pPr>
      <w:r>
        <w:rPr>
          <w:rFonts w:ascii="Times New Roman" w:hAnsi="Times New Roman" w:eastAsia="宋体"/>
          <w:b w:val="0"/>
          <w:sz w:val="24"/>
        </w:rPr>
        <w:t>taken for a given product or use setting”.</w:t>
      </w:r>
    </w:p>
    <w:p>
      <w:pPr>
        <w:spacing w:line="360" w:lineRule="auto"/>
        <w:ind w:firstLine="480"/>
      </w:pPr>
      <w:r>
        <w:rPr>
          <w:rFonts w:ascii="Times New Roman" w:hAnsi="Times New Roman" w:eastAsia="宋体"/>
          <w:b w:val="0"/>
          <w:sz w:val="24"/>
        </w:rPr>
        <w:t>A5.1.2</w:t>
      </w:r>
    </w:p>
    <w:p>
      <w:pPr>
        <w:spacing w:line="360" w:lineRule="auto"/>
        <w:ind w:firstLine="480"/>
      </w:pPr>
      <w:r>
        <w:rPr>
          <w:rFonts w:ascii="Times New Roman" w:hAnsi="Times New Roman" w:eastAsia="宋体"/>
          <w:b w:val="0"/>
          <w:sz w:val="24"/>
        </w:rPr>
        <w:t>The work on the GHS has not addressed harmonization of this type of approach. Therefore, specific</w:t>
      </w:r>
    </w:p>
    <w:p>
      <w:pPr>
        <w:spacing w:line="360" w:lineRule="auto"/>
        <w:ind w:firstLine="480"/>
      </w:pPr>
      <w:r>
        <w:rPr>
          <w:rFonts w:ascii="Times New Roman" w:hAnsi="Times New Roman" w:eastAsia="宋体"/>
          <w:b w:val="0"/>
          <w:sz w:val="24"/>
        </w:rPr>
        <w:t>procedures to apply this approach would have to be developed and applied by the competent authority. However, in</w:t>
      </w:r>
    </w:p>
    <w:p>
      <w:pPr>
        <w:spacing w:line="360" w:lineRule="auto"/>
        <w:ind w:firstLine="480"/>
      </w:pPr>
      <w:r>
        <w:rPr>
          <w:rFonts w:ascii="Times New Roman" w:hAnsi="Times New Roman" w:eastAsia="宋体"/>
          <w:b w:val="0"/>
          <w:sz w:val="24"/>
        </w:rPr>
        <w:t>recognition that it is an approach that has been used, and will continue to be used in the future, this annex is being provided</w:t>
      </w:r>
    </w:p>
    <w:p>
      <w:pPr>
        <w:spacing w:line="360" w:lineRule="auto"/>
        <w:ind w:firstLine="480"/>
      </w:pPr>
      <w:r>
        <w:rPr>
          <w:rFonts w:ascii="Times New Roman" w:hAnsi="Times New Roman" w:eastAsia="宋体"/>
          <w:b w:val="0"/>
          <w:sz w:val="24"/>
        </w:rPr>
        <w:t>to give additional guidance on how such an approach may work in practice.</w:t>
      </w:r>
    </w:p>
    <w:p>
      <w:pPr>
        <w:spacing w:line="360" w:lineRule="auto"/>
        <w:ind w:firstLine="480"/>
      </w:pPr>
      <w:r>
        <w:rPr>
          <w:rFonts w:ascii="Times New Roman" w:hAnsi="Times New Roman" w:eastAsia="宋体"/>
          <w:b w:val="0"/>
          <w:sz w:val="24"/>
        </w:rPr>
        <w:t>A5.1.3</w:t>
      </w:r>
    </w:p>
    <w:p>
      <w:pPr>
        <w:spacing w:line="360" w:lineRule="auto"/>
        <w:ind w:firstLine="480"/>
      </w:pPr>
      <w:r>
        <w:rPr>
          <w:rFonts w:ascii="Times New Roman" w:hAnsi="Times New Roman" w:eastAsia="宋体"/>
          <w:b w:val="0"/>
          <w:sz w:val="24"/>
        </w:rPr>
        <w:t>Exposure assessments for some consumer products are used to determine what information is included</w:t>
      </w:r>
    </w:p>
    <w:p>
      <w:pPr>
        <w:spacing w:line="360" w:lineRule="auto"/>
        <w:ind w:firstLine="480"/>
      </w:pPr>
      <w:r>
        <w:rPr>
          <w:rFonts w:ascii="Times New Roman" w:hAnsi="Times New Roman" w:eastAsia="宋体"/>
          <w:b w:val="0"/>
          <w:sz w:val="24"/>
        </w:rPr>
        <w:t>on a label in this type of approach. Regulators and manufacturers obtain exposure data or generate hypothetical exposure</w:t>
      </w:r>
    </w:p>
    <w:p>
      <w:pPr>
        <w:spacing w:line="360" w:lineRule="auto"/>
        <w:ind w:firstLine="480"/>
      </w:pPr>
      <w:r>
        <w:rPr>
          <w:rFonts w:ascii="Times New Roman" w:hAnsi="Times New Roman" w:eastAsia="宋体"/>
          <w:b w:val="0"/>
          <w:sz w:val="24"/>
        </w:rPr>
        <w:t>data based on customary use or foreseeable misuse. These assumptions are then used to determine whether a chronic</w:t>
      </w:r>
    </w:p>
    <w:p>
      <w:pPr>
        <w:spacing w:line="360" w:lineRule="auto"/>
        <w:ind w:firstLine="480"/>
      </w:pPr>
      <w:r>
        <w:rPr>
          <w:rFonts w:ascii="Times New Roman" w:hAnsi="Times New Roman" w:eastAsia="宋体"/>
          <w:b w:val="0"/>
          <w:sz w:val="24"/>
        </w:rPr>
        <w:t>health hazard is included on a consumer product label, and what precautions are to be followed, under a risk-based</w:t>
      </w:r>
    </w:p>
    <w:p>
      <w:pPr>
        <w:spacing w:line="360" w:lineRule="auto"/>
        <w:ind w:firstLine="480"/>
      </w:pPr>
      <w:r>
        <w:rPr>
          <w:rFonts w:ascii="Times New Roman" w:hAnsi="Times New Roman" w:eastAsia="宋体"/>
          <w:b w:val="0"/>
          <w:sz w:val="24"/>
        </w:rPr>
        <w:t>approach. These decisions are thus made on the basis of considerations regarding the likelihood of harm occurring in the</w:t>
      </w:r>
    </w:p>
    <w:p>
      <w:pPr>
        <w:spacing w:line="360" w:lineRule="auto"/>
        <w:ind w:firstLine="480"/>
      </w:pPr>
      <w:r>
        <w:rPr>
          <w:rFonts w:ascii="Times New Roman" w:hAnsi="Times New Roman" w:eastAsia="宋体"/>
          <w:b w:val="0"/>
          <w:sz w:val="24"/>
        </w:rPr>
        <w:t>consumer exposure situations that have been identified.</w:t>
      </w:r>
    </w:p>
    <w:p>
      <w:pPr>
        <w:spacing w:line="360" w:lineRule="auto"/>
        <w:ind w:firstLine="480"/>
      </w:pPr>
      <w:r>
        <w:rPr>
          <w:rFonts w:ascii="Times New Roman" w:hAnsi="Times New Roman" w:eastAsia="宋体"/>
          <w:b w:val="0"/>
          <w:sz w:val="24"/>
        </w:rPr>
        <w:t>A5.1.4</w:t>
      </w:r>
    </w:p>
    <w:p>
      <w:pPr>
        <w:spacing w:line="360" w:lineRule="auto"/>
        <w:ind w:firstLine="480"/>
      </w:pPr>
      <w:r>
        <w:rPr>
          <w:rFonts w:ascii="Times New Roman" w:hAnsi="Times New Roman" w:eastAsia="宋体"/>
          <w:b w:val="0"/>
          <w:sz w:val="24"/>
        </w:rPr>
        <w:t>Consumer product labels in some systems are based on a combination of hazard and risk. However,</w:t>
      </w:r>
    </w:p>
    <w:p>
      <w:pPr>
        <w:spacing w:line="360" w:lineRule="auto"/>
        <w:ind w:firstLine="480"/>
      </w:pPr>
      <w:r>
        <w:rPr>
          <w:rFonts w:ascii="Times New Roman" w:hAnsi="Times New Roman" w:eastAsia="宋体"/>
          <w:b w:val="0"/>
          <w:sz w:val="24"/>
        </w:rPr>
        <w:t>acute and physical hazards may be indicated on the label, while chronic health effects labelling based on risk is not</w:t>
      </w:r>
    </w:p>
    <w:p>
      <w:pPr>
        <w:spacing w:line="360" w:lineRule="auto"/>
        <w:ind w:firstLine="480"/>
      </w:pPr>
      <w:r>
        <w:rPr>
          <w:rFonts w:ascii="Times New Roman" w:hAnsi="Times New Roman" w:eastAsia="宋体"/>
          <w:b w:val="0"/>
          <w:sz w:val="24"/>
        </w:rPr>
        <w:t>indicated. This may be due in part to the expectation that exposures to some consumer products are of short duration, and</w:t>
      </w:r>
    </w:p>
    <w:p>
      <w:pPr>
        <w:spacing w:line="360" w:lineRule="auto"/>
        <w:ind w:firstLine="480"/>
      </w:pPr>
      <w:r>
        <w:rPr>
          <w:rFonts w:ascii="Times New Roman" w:hAnsi="Times New Roman" w:eastAsia="宋体"/>
          <w:b w:val="0"/>
          <w:sz w:val="24"/>
        </w:rPr>
        <w:t>thus may not be sufficient to lead to the development of chronic health effects as a result of those exposures. These</w:t>
      </w:r>
    </w:p>
    <w:p>
      <w:pPr>
        <w:spacing w:line="360" w:lineRule="auto"/>
        <w:ind w:firstLine="480"/>
      </w:pPr>
      <w:r>
        <w:rPr>
          <w:rFonts w:ascii="Times New Roman" w:hAnsi="Times New Roman" w:eastAsia="宋体"/>
          <w:b w:val="0"/>
          <w:sz w:val="24"/>
        </w:rPr>
        <w:t>expectations may not be accurate where consumer products are used in a workplace, e.g. paints or adhesives used by</w:t>
      </w:r>
    </w:p>
    <w:p>
      <w:pPr>
        <w:spacing w:line="360" w:lineRule="auto"/>
        <w:ind w:firstLine="480"/>
      </w:pPr>
      <w:r>
        <w:rPr>
          <w:rFonts w:ascii="Times New Roman" w:hAnsi="Times New Roman" w:eastAsia="宋体"/>
          <w:b w:val="0"/>
          <w:sz w:val="24"/>
        </w:rPr>
        <w:t>construction workers on a regular basis</w:t>
      </w:r>
    </w:p>
    <w:p>
      <w:pPr>
        <w:spacing w:line="360" w:lineRule="auto"/>
        <w:ind w:firstLine="480"/>
      </w:pPr>
      <w:r>
        <w:rPr>
          <w:rFonts w:ascii="Times New Roman" w:hAnsi="Times New Roman" w:eastAsia="宋体"/>
          <w:b w:val="0"/>
          <w:sz w:val="24"/>
        </w:rPr>
        <w:t>A5.1.5</w:t>
      </w:r>
    </w:p>
    <w:p>
      <w:pPr>
        <w:spacing w:line="360" w:lineRule="auto"/>
        <w:ind w:firstLine="480"/>
      </w:pPr>
      <w:r>
        <w:rPr>
          <w:rFonts w:ascii="Times New Roman" w:hAnsi="Times New Roman" w:eastAsia="宋体"/>
          <w:b w:val="0"/>
          <w:sz w:val="24"/>
        </w:rPr>
        <w:t>While intrinsic hazards of a chemical can be determined for all sectors, information about exposure, and</w:t>
      </w:r>
    </w:p>
    <w:p>
      <w:pPr>
        <w:spacing w:line="360" w:lineRule="auto"/>
        <w:ind w:firstLine="480"/>
      </w:pPr>
      <w:r>
        <w:rPr>
          <w:rFonts w:ascii="Times New Roman" w:hAnsi="Times New Roman" w:eastAsia="宋体"/>
          <w:b w:val="0"/>
          <w:sz w:val="24"/>
        </w:rPr>
        <w:t>thus risk, varies significantly among the sectors covered by the GHS. The vehicle by which this information is then</w:t>
      </w:r>
    </w:p>
    <w:p>
      <w:pPr>
        <w:spacing w:line="360" w:lineRule="auto"/>
        <w:ind w:firstLine="480"/>
      </w:pPr>
      <w:r>
        <w:rPr>
          <w:rFonts w:ascii="Times New Roman" w:hAnsi="Times New Roman" w:eastAsia="宋体"/>
          <w:b w:val="0"/>
          <w:sz w:val="24"/>
        </w:rPr>
        <w:t>transmitted to the user also varies. In some cases, particularly in the consumer setting, the label is the sole source of</w:t>
      </w:r>
    </w:p>
    <w:p>
      <w:pPr>
        <w:spacing w:line="360" w:lineRule="auto"/>
        <w:ind w:firstLine="480"/>
      </w:pPr>
      <w:r>
        <w:rPr>
          <w:rFonts w:ascii="Times New Roman" w:hAnsi="Times New Roman" w:eastAsia="宋体"/>
          <w:b w:val="0"/>
          <w:sz w:val="24"/>
        </w:rPr>
        <w:t>information, while in others, especially the workplace, it is one piece of a comprehensive system, supplemented by SDS’s</w:t>
      </w:r>
    </w:p>
    <w:p>
      <w:pPr>
        <w:spacing w:line="360" w:lineRule="auto"/>
        <w:ind w:firstLine="480"/>
      </w:pPr>
      <w:r>
        <w:rPr>
          <w:rFonts w:ascii="Times New Roman" w:hAnsi="Times New Roman" w:eastAsia="宋体"/>
          <w:b w:val="0"/>
          <w:sz w:val="24"/>
        </w:rPr>
        <w:t>and worker training. In transport, a label transmits the primary information, but additional information is provided by the</w:t>
      </w:r>
    </w:p>
    <w:p>
      <w:pPr>
        <w:spacing w:line="360" w:lineRule="auto"/>
        <w:ind w:firstLine="480"/>
      </w:pPr>
      <w:r>
        <w:rPr>
          <w:rFonts w:ascii="Times New Roman" w:hAnsi="Times New Roman" w:eastAsia="宋体"/>
          <w:b w:val="0"/>
          <w:sz w:val="24"/>
        </w:rPr>
        <w:t>transport documentation.</w:t>
      </w:r>
    </w:p>
    <w:p>
      <w:pPr>
        <w:spacing w:line="360" w:lineRule="auto"/>
        <w:ind w:firstLine="480"/>
      </w:pPr>
      <w:r>
        <w:rPr>
          <w:rFonts w:ascii="Times New Roman" w:hAnsi="Times New Roman" w:eastAsia="宋体"/>
          <w:b w:val="0"/>
          <w:sz w:val="24"/>
        </w:rPr>
        <w:t>A5.2</w:t>
      </w:r>
    </w:p>
    <w:p>
      <w:pPr>
        <w:spacing w:line="360" w:lineRule="auto"/>
        <w:ind w:firstLine="480"/>
      </w:pPr>
      <w:r>
        <w:rPr>
          <w:rFonts w:ascii="Times New Roman" w:hAnsi="Times New Roman" w:eastAsia="宋体"/>
          <w:b w:val="0"/>
          <w:sz w:val="24"/>
        </w:rPr>
        <w:t>General principles</w:t>
      </w:r>
    </w:p>
    <w:p>
      <w:pPr>
        <w:spacing w:line="360" w:lineRule="auto"/>
        <w:ind w:firstLine="480"/>
      </w:pPr>
      <w:r>
        <w:rPr>
          <w:rFonts w:ascii="Times New Roman" w:hAnsi="Times New Roman" w:eastAsia="宋体"/>
          <w:b w:val="0"/>
          <w:sz w:val="24"/>
        </w:rPr>
        <w:t>A5.2.1</w:t>
      </w:r>
    </w:p>
    <w:p>
      <w:pPr>
        <w:spacing w:line="360" w:lineRule="auto"/>
        <w:ind w:firstLine="480"/>
      </w:pPr>
      <w:r>
        <w:rPr>
          <w:rFonts w:ascii="Times New Roman" w:hAnsi="Times New Roman" w:eastAsia="宋体"/>
          <w:b w:val="0"/>
          <w:sz w:val="24"/>
        </w:rPr>
        <w:t>While the specific risk assessment approach has not been addressed or harmonized in the GHS, certain</w:t>
      </w:r>
    </w:p>
    <w:p>
      <w:pPr>
        <w:spacing w:line="360" w:lineRule="auto"/>
        <w:ind w:firstLine="480"/>
      </w:pPr>
      <w:r>
        <w:rPr>
          <w:rFonts w:ascii="Times New Roman" w:hAnsi="Times New Roman" w:eastAsia="宋体"/>
          <w:b w:val="0"/>
          <w:sz w:val="24"/>
        </w:rPr>
        <w:t>general principles are as follows:</w:t>
      </w:r>
    </w:p>
    <w:p>
      <w:pPr>
        <w:spacing w:line="360" w:lineRule="auto"/>
        <w:ind w:firstLine="480"/>
      </w:pPr>
      <w:r>
        <w:rPr>
          <w:rFonts w:ascii="Times New Roman" w:hAnsi="Times New Roman" w:eastAsia="宋体"/>
          <w:b w:val="0"/>
          <w:sz w:val="24"/>
        </w:rPr>
        <w:t>(a)</w:t>
      </w:r>
    </w:p>
    <w:p>
      <w:pPr>
        <w:spacing w:line="360" w:lineRule="auto"/>
        <w:ind w:firstLine="480"/>
      </w:pPr>
      <w:r>
        <w:rPr>
          <w:rFonts w:ascii="Times New Roman" w:hAnsi="Times New Roman" w:eastAsia="宋体"/>
          <w:b w:val="0"/>
          <w:sz w:val="24"/>
        </w:rPr>
        <w:t>All chemicals should be classified based on GHS classification criteria</w:t>
      </w:r>
    </w:p>
    <w:p>
      <w:pPr>
        <w:spacing w:line="360" w:lineRule="auto"/>
        <w:ind w:firstLine="480"/>
      </w:pPr>
      <w:r>
        <w:rPr>
          <w:rFonts w:ascii="Times New Roman" w:hAnsi="Times New Roman" w:eastAsia="宋体"/>
          <w:b w:val="0"/>
          <w:sz w:val="24"/>
        </w:rPr>
        <w:t>The first step in the process of classifying hazards and communicating information should always</w:t>
      </w:r>
    </w:p>
    <w:p>
      <w:pPr>
        <w:spacing w:line="360" w:lineRule="auto"/>
        <w:ind w:firstLine="480"/>
      </w:pPr>
      <w:r>
        <w:rPr>
          <w:rFonts w:ascii="Times New Roman" w:hAnsi="Times New Roman" w:eastAsia="宋体"/>
          <w:b w:val="0"/>
          <w:sz w:val="24"/>
        </w:rPr>
        <w:t>be classification of intrinsic hazards based on the GHS criteria for substances and mixtures;</w:t>
      </w:r>
    </w:p>
    <w:p>
      <w:pPr>
        <w:spacing w:line="360" w:lineRule="auto"/>
        <w:ind w:firstLine="480"/>
      </w:pPr>
      <w:r>
        <w:rPr>
          <w:rFonts w:ascii="Times New Roman" w:hAnsi="Times New Roman" w:eastAsia="宋体"/>
          <w:b w:val="0"/>
          <w:sz w:val="24"/>
        </w:rPr>
        <w:t>1</w:t>
      </w:r>
    </w:p>
    <w:p>
      <w:pPr>
        <w:spacing w:line="360" w:lineRule="auto"/>
        <w:ind w:firstLine="480"/>
      </w:pPr>
      <w:r>
        <w:rPr>
          <w:rFonts w:ascii="Times New Roman" w:hAnsi="Times New Roman" w:eastAsia="宋体"/>
          <w:b w:val="0"/>
          <w:sz w:val="24"/>
        </w:rPr>
        <w:t>IOMC Description and Further Clarification of the Anticipated Application of the Globally Harmonized System</w:t>
      </w:r>
    </w:p>
    <w:p>
      <w:pPr>
        <w:spacing w:line="360" w:lineRule="auto"/>
        <w:ind w:firstLine="480"/>
      </w:pPr>
      <w:r>
        <w:rPr>
          <w:rFonts w:ascii="Times New Roman" w:hAnsi="Times New Roman" w:eastAsia="宋体"/>
          <w:b w:val="0"/>
          <w:sz w:val="24"/>
        </w:rPr>
        <w:t>(GHS), IFCS/ISG3/98.32B.</w:t>
      </w:r>
    </w:p>
    <w:sectPr w:rsidR="00FC693F" w:rsidRPr="0006063C" w:rsidSect="00034616">
      <w:pgSz w:w="12240" w:h="15840"/>
      <w:pgMar w:top="1440" w:right="1474" w:bottom="1440" w:left="147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