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MSDS 结构信息</w:t>
      </w:r>
    </w:p>
    <w:p>
      <w:r>
        <w:rPr>
          <w:rFonts w:ascii="微软雅黑" w:hAnsi="微软雅黑" w:eastAsia="微软雅黑"/>
          <w:b/>
          <w:color w:val="1F4E79"/>
          <w:sz w:val="26"/>
        </w:rPr>
        <w:t>PEA-4139 MSDS_CN 冠志 模板.docx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5F6368"/>
          <w:sz w:val="18"/>
        </w:rPr>
        <w:t>来源文件: F:\正式项目与模块化内容\MSDS 数据清理模块\标准模板\标准模板\定稿模板\PEA-4139 MSDS_CN 冠志 模板.docx</w:t>
        <w:br/>
        <w:t>解析统计: 17 节 / 16 表 / 95 字段 / 2 成分 / 1 异常</w:t>
        <w:br/>
        <w:t>结构标准: 按 GB/T 16483 16 节三级父子级结构展开 (S0 页眉页脚 + S1~S16)</w:t>
      </w:r>
    </w:p>
    <w:p>
      <w:pPr>
        <w:pStyle w:val="Heading1"/>
      </w:pPr>
      <w:r>
        <w:t>0.页眉页脚</w:t>
      </w:r>
    </w:p>
    <w:p>
      <w:pPr>
        <w:pStyle w:val="Heading2"/>
      </w:pPr>
      <w:r>
        <w:t>0.1 页眉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物料安全数据表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Version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V1.0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产品名称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PEA-4139</w:t>
      </w:r>
    </w:p>
    <w:p>
      <w:pPr>
        <w:pStyle w:val="Heading2"/>
      </w:pPr>
      <w:r>
        <w:t>0.2 页脚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公司名称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广州冠志新材料科技有限公司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产品型号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PEA-4139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修订日期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2026年08月05日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页码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3 / 5</w:t>
      </w:r>
    </w:p>
    <w:p>
      <w:pPr>
        <w:pStyle w:val="Heading1"/>
      </w:pPr>
      <w:r>
        <w:t>1.物料及供应商标识</w:t>
      </w:r>
    </w:p>
    <w:p>
      <w:pPr>
        <w:pStyle w:val="Heading2"/>
      </w:pPr>
      <w:r>
        <w:t>1.1 产品名称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中文名称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此处填写产品中文名称+型号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化学品分类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此处填写化学品分类名称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1.2 产品使用建议和使用限制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此处填写使用建议和使用限制</w:t>
      </w:r>
    </w:p>
    <w:p>
      <w:pPr>
        <w:pStyle w:val="Heading2"/>
      </w:pPr>
      <w:r>
        <w:t>1.3 供应商信息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供应商名称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广州冠志新材料科技有限公司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供应商地址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地址：广州市萝岗区科学城掬泉路3号广州国际企业孵化器A区1106室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电话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86-20-82567990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传真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86-20-32214789</w:t>
      </w:r>
    </w:p>
    <w:p>
      <w:pPr>
        <w:pStyle w:val="Heading1"/>
      </w:pPr>
      <w:r>
        <w:t>2.危险性概述</w:t>
      </w:r>
    </w:p>
    <w:p>
      <w:pPr>
        <w:pStyle w:val="Heading2"/>
      </w:pPr>
      <w:r>
        <w:t>2.1 紧急情况概述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2.2 GHS危险性类别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易燃液体，类别4（H227）</w:t>
      </w:r>
    </w:p>
    <w:p>
      <w:pPr>
        <w:pStyle w:val="Heading2"/>
      </w:pPr>
      <w:r>
        <w:t>2.3 标签要素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象形图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信号词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警告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危害性说明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H316造成轻微皮肤刺激。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防范说明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预防措施：</w:t>
      </w:r>
      <w:r>
        <w:br/>
      </w:r>
      <w:r>
        <w:rPr>
          <w:rFonts w:ascii="微软雅黑" w:hAnsi="微软雅黑" w:eastAsia="微软雅黑"/>
          <w:b w:val="0"/>
          <w:sz w:val="21"/>
        </w:rPr>
        <w:t>P210 远离热源、热表面、火花、明火和其他点火源。禁止吸烟。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2.6 其他危险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喷涂使用时可能形成雾滴或气溶胶，应避免吸入。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2.7 其他危险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吸入：</w:t>
      </w:r>
      <w:r>
        <w:br/>
      </w:r>
      <w:r>
        <w:rPr>
          <w:rFonts w:ascii="微软雅黑" w:hAnsi="微软雅黑" w:eastAsia="微软雅黑"/>
          <w:b w:val="0"/>
          <w:sz w:val="21"/>
        </w:rPr>
        <w:t>食入：</w:t>
      </w:r>
      <w:r>
        <w:br/>
      </w:r>
      <w:r>
        <w:rPr>
          <w:rFonts w:ascii="微软雅黑" w:hAnsi="微软雅黑" w:eastAsia="微软雅黑"/>
          <w:b w:val="0"/>
          <w:sz w:val="21"/>
        </w:rPr>
        <w:t>皮肤：</w:t>
      </w:r>
      <w:r>
        <w:br/>
      </w:r>
      <w:r>
        <w:rPr>
          <w:rFonts w:ascii="微软雅黑" w:hAnsi="微软雅黑" w:eastAsia="微软雅黑"/>
          <w:b w:val="0"/>
          <w:sz w:val="21"/>
        </w:rPr>
        <w:t>眼睛：</w:t>
      </w:r>
      <w:r>
        <w:br/>
      </w:r>
      <w:r>
        <w:rPr>
          <w:rFonts w:ascii="微软雅黑" w:hAnsi="微软雅黑" w:eastAsia="微软雅黑"/>
          <w:b w:val="0"/>
          <w:sz w:val="21"/>
        </w:rPr>
        <w:t>症状和体征：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2.8 其他危险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如：对水生生物有毒。可能对水生环境造成长期有害影响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2.9 其他危险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</w:t>
      </w:r>
    </w:p>
    <w:p>
      <w:pPr>
        <w:pStyle w:val="Heading1"/>
      </w:pPr>
      <w:r>
        <w:t>3. 成分/组成资料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3.1 产品类型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混合物</w:t>
      </w:r>
    </w:p>
    <w:p>
      <w:pPr>
        <w:pStyle w:val="Heading2"/>
      </w:pPr>
      <w:r>
        <w:t>3.2 成分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1"/>
        </w:rPr>
        <w:t>成分1 | CAS: 商业机密 | 含量: &gt;n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sz w:val="21"/>
        </w:rPr>
        <w:t>成分2 | CAS: 7732-18-5 | 含量: &gt;45</w:t>
      </w:r>
    </w:p>
    <w:p>
      <w:pPr>
        <w:pStyle w:val="Heading1"/>
      </w:pPr>
      <w:r>
        <w:t>4.急救措施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4.1 一般措施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立即脱掉所有被污染的衣物。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4.2 误服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若意外吞食，不要催吐，立即就医。无意识时，不要经口喂食任何食物。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4.3 接触眼睛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立即翻起上下眼睑用大量缓和流动的水清洗眼睛至少20 分钟。且将头倾斜，避免化学品流入另一只未受污染的眼睛，并立即就医。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4.4 接触皮肤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立即用肥皂和大量的水冲洗。若发生皮肤反应，就医。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4.5 吸入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一旦吸入，如有不适，就医。</w:t>
      </w:r>
    </w:p>
    <w:p>
      <w:pPr>
        <w:pStyle w:val="Heading1"/>
      </w:pPr>
      <w:r>
        <w:t>5.消防措施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5.1 合适的灭火剂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二氧化碳（CO2），耐醇泡沫，化学干粉。大火时应用水喷洒。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5.2 不合适的灭火剂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高流量的水喷射。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5.3 物质或混合物的特殊危害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燃烧时释放一氧化碳、二氧化碳、氮氧化物等。</w:t>
      </w:r>
      <w:r>
        <w:br/>
      </w:r>
      <w:r>
        <w:rPr>
          <w:rFonts w:ascii="微软雅黑" w:hAnsi="微软雅黑" w:eastAsia="微软雅黑"/>
          <w:b w:val="0"/>
          <w:sz w:val="21"/>
        </w:rPr>
        <w:t>在着火或爆炸情况下，不要吸进烟尘。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5.4 消防预防措施和保护设备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消防人员必须佩戴自供气式呼吸器。</w:t>
      </w:r>
      <w:r>
        <w:br/>
      </w:r>
      <w:r>
        <w:rPr>
          <w:rFonts w:ascii="微软雅黑" w:hAnsi="微软雅黑" w:eastAsia="微软雅黑"/>
          <w:b w:val="0"/>
          <w:sz w:val="21"/>
        </w:rPr>
        <w:t>禁止污染的灭火用水流入土壤，地下水或地表水中。</w:t>
      </w:r>
    </w:p>
    <w:p>
      <w:pPr>
        <w:pStyle w:val="Heading1"/>
      </w:pPr>
      <w:r>
        <w:t>6.意外泄漏措施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6.1 个人预防措施、应急程序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戴防护设备。确保充分的通风/排气。</w:t>
      </w:r>
      <w:r>
        <w:br/>
      </w:r>
      <w:r>
        <w:rPr>
          <w:rFonts w:ascii="微软雅黑" w:hAnsi="微软雅黑" w:eastAsia="微软雅黑"/>
          <w:b w:val="0"/>
          <w:sz w:val="21"/>
        </w:rPr>
        <w:t>令未授权人员离开。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6.2 环境保护措施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禁止排入下水道，废水或土壤中。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6.3 污染物收集和清除的方法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用化学品吸收材料或必要时用干沙收集，并储存于密闭容器中。</w:t>
      </w:r>
    </w:p>
    <w:p>
      <w:pPr>
        <w:pStyle w:val="Heading1"/>
      </w:pPr>
      <w:r>
        <w:t>7.操作和储存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7.1 安全操作防范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在具有适当排气通风的场所使用。避免与皮肤和眼睛接触。不要呼吸蒸气或喷雾。远离食物，饮料和烟草，休息前及工作结束及时洗手。更换被污染或浸湿的衣物。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7.2 安全储存条件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容器保持紧闭，存储在凉爽通风处。为保证产品质量，必须遵守我们产品信息表的储存条件。</w:t>
      </w:r>
    </w:p>
    <w:p>
      <w:pPr>
        <w:pStyle w:val="Heading1"/>
      </w:pPr>
      <w:r>
        <w:t>8.接触控制/个人防护</w:t>
      </w:r>
    </w:p>
    <w:p>
      <w:pPr>
        <w:pStyle w:val="Heading2"/>
      </w:pPr>
      <w:r>
        <w:t>8.1 暴露控制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呼吸系统防护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喷涂过程中要求有呼吸防护设备。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手部防护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喷涂过程中要求有呼吸防护设备。 / 建议戴上防护手套。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防护手套的合适材料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EN 374-3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氟化橡胶 –FKM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厚度≧0.4mm；穿透时间≧480min.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丁基橡胶 –IIR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厚度≧0.5mm；穿透时间≧480min.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丁腈橡胶 – NBR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厚度≧0.35mm；穿透时间≧480min.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建议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污染的手套应废弃。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眼睛防护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戴护目镜/面罩。</w:t>
      </w:r>
    </w:p>
    <w:p>
      <w:pPr>
        <w:spacing w:after="40"/>
        <w:ind w:left="680"/>
      </w:pPr>
      <w:r>
        <w:rPr>
          <w:rFonts w:ascii="微软雅黑" w:hAnsi="微软雅黑" w:eastAsia="微软雅黑"/>
          <w:b/>
          <w:sz w:val="21"/>
        </w:rPr>
        <w:t>身体防护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穿着适当的防护服。</w:t>
      </w:r>
    </w:p>
    <w:p>
      <w:pPr>
        <w:pStyle w:val="Heading2"/>
      </w:pPr>
      <w:r>
        <w:t>8.2 生物限值</w:t>
      </w:r>
    </w:p>
    <w:p>
      <w:pPr>
        <w:spacing w:after="40"/>
        <w:ind w:left="1020"/>
      </w:pPr>
      <w:r>
        <w:rPr>
          <w:rFonts w:ascii="微软雅黑" w:hAnsi="微软雅黑" w:eastAsia="微软雅黑"/>
          <w:b w:val="0"/>
          <w:sz w:val="21"/>
        </w:rPr>
        <w:t>组分名称: 二甲苯　｜　标准来源: ACGIH(2009）　｜　生物监测指标: 尿中甲基马尿酸　｜　生物限值: 1.5g/g肌酐　｜　采样时间: 班末</w:t>
      </w:r>
    </w:p>
    <w:p>
      <w:pPr>
        <w:pStyle w:val="Heading2"/>
      </w:pPr>
      <w:r>
        <w:t>8.3 工程控制</w:t>
      </w:r>
    </w:p>
    <w:p>
      <w:pPr>
        <w:pStyle w:val="Heading1"/>
      </w:pPr>
      <w:r>
        <w:t>9. 物理和化学特性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 外观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乳白色液体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9.2 嗅觉阈值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9.3 pH值（1%水溶液）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7-9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9.4 离子性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非离子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9.5 初沸点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9.6 闪点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9.7 蒸发速率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9.8 可燃性（固态、气态）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9.9 燃烧值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9.10 饱和蒸气压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9.11 相对蒸气密度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9.12 密度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9.13 水溶性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9.14 表面张力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9.15 辛醇/水分配系数对数值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9.16 自燃温度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9.17 引燃温度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9.18 分解温度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9.19 动力粘度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9.20 爆炸特性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9.21 粉尘爆炸级别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9.22 固体含量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9.23 其他信息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</w:t>
      </w:r>
    </w:p>
    <w:p>
      <w:pPr>
        <w:pStyle w:val="Heading1"/>
      </w:pPr>
      <w:r>
        <w:t>10.稳定性和反应性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10.1 化学稳定性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在推荐储存和操作条件下稳定。避免冻结、过热和长期阳光照射。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10.2 危险分解产物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受热分解或燃烧可能产生一氧化碳、二氧化碳、氮氧化物及刺激性烟气。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10.3 可能的危害反应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正常使用条件下无已知危险反应；</w:t>
      </w:r>
    </w:p>
    <w:p>
      <w:pPr>
        <w:pStyle w:val="Heading2"/>
      </w:pPr>
      <w:r>
        <w:t>10.4 应避免的条件</w:t>
      </w:r>
    </w:p>
    <w:p>
      <w:pPr>
        <w:pStyle w:val="Heading2"/>
      </w:pPr>
      <w:r>
        <w:t>10.5 禁配物</w:t>
      </w:r>
    </w:p>
    <w:p>
      <w:pPr>
        <w:pStyle w:val="Heading1"/>
      </w:pPr>
      <w:r>
        <w:t>11.毒性资料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11.1 急性毒性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经口： 半数致死剂量（LD50）/大鼠：约3,306 mg/kg。</w:t>
      </w:r>
      <w:r>
        <w:br/>
      </w:r>
      <w:r>
        <w:rPr>
          <w:rFonts w:ascii="微软雅黑" w:hAnsi="微软雅黑" w:eastAsia="微软雅黑"/>
          <w:b w:val="0"/>
          <w:sz w:val="21"/>
        </w:rPr>
        <w:t>吸入： 半数致死浓度（LC50）/4 h/大鼠： ＞1.5 mg/L（气溶胶）。</w:t>
      </w:r>
      <w:r>
        <w:br/>
      </w:r>
      <w:r>
        <w:rPr>
          <w:rFonts w:ascii="微软雅黑" w:hAnsi="微软雅黑" w:eastAsia="微软雅黑"/>
          <w:b w:val="0"/>
          <w:sz w:val="21"/>
        </w:rPr>
        <w:t>经皮： 半数致死剂量（LD50）/兔：2,764 mg/kg。</w:t>
      </w:r>
      <w:r>
        <w:br/>
      </w:r>
      <w:r>
        <w:rPr>
          <w:rFonts w:ascii="微软雅黑" w:hAnsi="微软雅黑" w:eastAsia="微软雅黑"/>
          <w:b w:val="0"/>
          <w:sz w:val="21"/>
        </w:rPr>
        <w:t>根据现有数据，二乙二醇单丁醚未达到急性经口、 经皮或气溶胶吸入毒性的分类标准。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11.2 主要皮肤刺激性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物种：兔子</w:t>
      </w:r>
      <w:r>
        <w:br/>
      </w:r>
      <w:r>
        <w:rPr>
          <w:rFonts w:ascii="微软雅黑" w:hAnsi="微软雅黑" w:eastAsia="微软雅黑"/>
          <w:b w:val="0"/>
          <w:sz w:val="21"/>
        </w:rPr>
        <w:t>分类：根据现有数据，不属于皮肤腐蚀或皮肤刺激类</w:t>
      </w:r>
      <w:r>
        <w:br/>
      </w:r>
      <w:r>
        <w:rPr>
          <w:rFonts w:ascii="微软雅黑" w:hAnsi="微软雅黑" w:eastAsia="微软雅黑"/>
          <w:b w:val="0"/>
          <w:sz w:val="21"/>
        </w:rPr>
        <w:t>结果：长时间或反复接触可能造成皮肤干燥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11.3 主要眼睛刺激性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物种：兔子</w:t>
      </w:r>
      <w:r>
        <w:br/>
      </w:r>
      <w:r>
        <w:rPr>
          <w:rFonts w:ascii="微软雅黑" w:hAnsi="微软雅黑" w:eastAsia="微软雅黑"/>
          <w:b w:val="0"/>
          <w:sz w:val="21"/>
        </w:rPr>
        <w:t>分类：刺激眼睛</w:t>
      </w:r>
      <w:r>
        <w:br/>
      </w:r>
      <w:r>
        <w:rPr>
          <w:rFonts w:ascii="微软雅黑" w:hAnsi="微软雅黑" w:eastAsia="微软雅黑"/>
          <w:b w:val="0"/>
          <w:sz w:val="21"/>
        </w:rPr>
        <w:t>结果：未稀释的二乙二醇单丁醚可造成明显眼睛刺激，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11.4 致敏性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物种：豚鼠</w:t>
      </w:r>
      <w:r>
        <w:br/>
      </w:r>
      <w:r>
        <w:rPr>
          <w:rFonts w:ascii="微软雅黑" w:hAnsi="微软雅黑" w:eastAsia="微软雅黑"/>
          <w:b w:val="0"/>
          <w:sz w:val="21"/>
        </w:rPr>
        <w:t>分类：根据现有资料，不属于皮肤致敏物质</w:t>
      </w:r>
      <w:r>
        <w:br/>
      </w:r>
      <w:r>
        <w:rPr>
          <w:rFonts w:ascii="微软雅黑" w:hAnsi="微软雅黑" w:eastAsia="微软雅黑"/>
          <w:b w:val="0"/>
          <w:sz w:val="21"/>
        </w:rPr>
        <w:t>结果：动物试验中未观察到皮肤过敏反应。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11.5 致突变性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多数细菌回复突变试验及染色体畸变试验结果为阴性。 部分体外基因突变试验结果存在差异。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11.6 致癌性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在动物试验中未见致癌影响。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11.7 生殖毒性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根据现有动物试验，二乙二醇单丁醚未表现出明显的 生育能力损害、致畸作用或发育毒性。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11.8 特异性靶器官系统毒性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根据现有资料，未达到特异性靶器官毒性 一次接触的分类标准。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11.9 吸入危险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无数据资料。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11.10 附加信息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眼睛接触可能造成明显刺激、发红及疼痛。</w:t>
      </w:r>
      <w:r>
        <w:br/>
      </w:r>
      <w:r>
        <w:rPr>
          <w:rFonts w:ascii="微软雅黑" w:hAnsi="微软雅黑" w:eastAsia="微软雅黑"/>
          <w:b w:val="0"/>
          <w:sz w:val="21"/>
        </w:rPr>
        <w:t>长时间或反复皮肤接触可能造成轻微刺激、 皮肤发红或皮肤干燥。</w:t>
      </w:r>
      <w:r>
        <w:br/>
      </w:r>
      <w:r>
        <w:rPr>
          <w:rFonts w:ascii="微软雅黑" w:hAnsi="微软雅黑" w:eastAsia="微软雅黑"/>
          <w:b w:val="0"/>
          <w:sz w:val="21"/>
        </w:rPr>
        <w:t>正常温度下蒸气压较低，单次蒸气暴露通常不预期造成明显不良影响；</w:t>
      </w:r>
      <w:r>
        <w:br/>
      </w:r>
      <w:r>
        <w:rPr>
          <w:rFonts w:ascii="微软雅黑" w:hAnsi="微软雅黑" w:eastAsia="微软雅黑"/>
          <w:b w:val="0"/>
          <w:sz w:val="21"/>
        </w:rPr>
        <w:t>喷涂、加热或形成气溶胶时， 应保持良好通风并避免吸入。 误食较大剂量可能造成不适。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该产品无可用的毒理学研究。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以下为二乙二醇单丁醚 （CAS号：112-34-5）的毒理学参考数据：</w:t>
      </w:r>
    </w:p>
    <w:p>
      <w:pPr>
        <w:pStyle w:val="Heading1"/>
      </w:pPr>
      <w:r>
        <w:t>12.生态信息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12.1 生态毒性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对鱼类的毒性：</w:t>
      </w:r>
      <w:r>
        <w:br/>
      </w:r>
      <w:r>
        <w:rPr>
          <w:rFonts w:ascii="微软雅黑" w:hAnsi="微软雅黑" w:eastAsia="微软雅黑"/>
          <w:b w:val="0"/>
          <w:sz w:val="21"/>
        </w:rPr>
        <w:t>半数致死浓度（LC50）/96 h/ 蓝鳃太阳鱼：1,300 mg/L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12.1 生态毒性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其他：</w:t>
      </w:r>
      <w:r>
        <w:br/>
      </w:r>
      <w:r>
        <w:rPr>
          <w:rFonts w:ascii="微软雅黑" w:hAnsi="微软雅黑" w:eastAsia="微软雅黑"/>
          <w:b w:val="0"/>
          <w:sz w:val="21"/>
        </w:rPr>
        <w:t>生物量半数有效浓度（EbC50）/96 h/ 绿藻：＞100 mg/L。 半数有效浓度（EC50）/48 h/ 大型溞：＞100 mg/L。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12.2 持久性和降解性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生物降解率：89%—93%，28 d</w:t>
      </w:r>
      <w:r>
        <w:br/>
      </w:r>
      <w:r>
        <w:rPr>
          <w:rFonts w:ascii="微软雅黑" w:hAnsi="微软雅黑" w:eastAsia="微软雅黑"/>
          <w:b w:val="0"/>
          <w:sz w:val="21"/>
        </w:rPr>
        <w:t>试验方法：OECD 301C或等效方法。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12.3 其他不利的影响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无数据资料。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该产品无可用的生态毒理学研究。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以下为二乙二醇单丁醚 （CAS号：112-34-5）的生态毒理学参考数据：</w:t>
      </w:r>
    </w:p>
    <w:p>
      <w:pPr>
        <w:pStyle w:val="Heading1"/>
      </w:pPr>
      <w:r>
        <w:t>13. 处理注意事项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必须遵守适用的国标、国家或当地法规进行废弃。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在欧盟领域内废弃，应根据欧洲废弃物分类（EWC）的适当法规。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处理方法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尽可能将容器倒空（例如经倾倒，刮擦或排干直至“滴干”）</w:t>
      </w:r>
      <w:r>
        <w:br/>
      </w:r>
      <w:r>
        <w:rPr>
          <w:rFonts w:ascii="微软雅黑" w:hAnsi="微软雅黑" w:eastAsia="微软雅黑"/>
          <w:b w:val="0"/>
          <w:sz w:val="21"/>
        </w:rPr>
        <w:t>可根据化学工业现存的回收方案送往适当的收集点处理。</w:t>
      </w:r>
      <w:r>
        <w:br/>
      </w:r>
      <w:r>
        <w:rPr>
          <w:rFonts w:ascii="微软雅黑" w:hAnsi="微软雅黑" w:eastAsia="微软雅黑"/>
          <w:b w:val="0"/>
          <w:sz w:val="21"/>
        </w:rPr>
        <w:t>容器应按照国家法令和环境相关法规进行回收。</w:t>
      </w:r>
      <w:r>
        <w:br/>
      </w:r>
      <w:r>
        <w:rPr>
          <w:rFonts w:ascii="微软雅黑" w:hAnsi="微软雅黑" w:eastAsia="微软雅黑"/>
          <w:b w:val="0"/>
          <w:sz w:val="21"/>
        </w:rPr>
        <w:t>不能将废弃物通过废水排放。</w:t>
      </w:r>
    </w:p>
    <w:p>
      <w:pPr>
        <w:pStyle w:val="Heading1"/>
      </w:pPr>
      <w:r>
        <w:t>14. 运输信息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14.1 公路和铁路运输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非危险品陆运输方式。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14.2 海上运输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非危险品海运方式。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14.3 空运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非危险品运输方式。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sz w:val="21"/>
        </w:rPr>
        <w:t>14.4 用户特殊注意事项</w:t>
      </w:r>
      <w:r>
        <w:rPr>
          <w:rFonts w:ascii="微软雅黑" w:hAnsi="微软雅黑" w:eastAsia="微软雅黑"/>
          <w:b/>
          <w:sz w:val="21"/>
        </w:rPr>
        <w:t>：</w:t>
      </w:r>
      <w:r>
        <w:rPr>
          <w:rFonts w:ascii="微软雅黑" w:hAnsi="微软雅黑" w:eastAsia="微软雅黑"/>
          <w:b w:val="0"/>
          <w:sz w:val="21"/>
        </w:rPr>
        <w:t>非危险货物。</w:t>
      </w:r>
      <w:r>
        <w:br/>
      </w:r>
      <w:r>
        <w:rPr>
          <w:rFonts w:ascii="微软雅黑" w:hAnsi="微软雅黑" w:eastAsia="微软雅黑"/>
          <w:b w:val="0"/>
          <w:sz w:val="21"/>
        </w:rPr>
        <w:t>避免温度高于+35℃，温度不可低于+5℃。</w:t>
      </w:r>
      <w:r>
        <w:br/>
      </w:r>
      <w:r>
        <w:rPr>
          <w:rFonts w:ascii="微软雅黑" w:hAnsi="微软雅黑" w:eastAsia="微软雅黑"/>
          <w:b w:val="0"/>
          <w:sz w:val="21"/>
        </w:rPr>
        <w:t>远离食物、酸和碱。</w:t>
      </w:r>
    </w:p>
    <w:p>
      <w:pPr>
        <w:pStyle w:val="Heading1"/>
      </w:pPr>
      <w:r>
        <w:t>15. 法规信息</w:t>
      </w:r>
    </w:p>
    <w:p>
      <w:pPr>
        <w:pStyle w:val="Heading2"/>
      </w:pPr>
      <w:r>
        <w:t>其它的规定</w:t>
      </w:r>
    </w:p>
    <w:p>
      <w:pPr>
        <w:pStyle w:val="Heading2"/>
      </w:pPr>
      <w:r>
        <w:t>符合下列法规要求</w:t>
      </w:r>
    </w:p>
    <w:p>
      <w:pPr>
        <w:pStyle w:val="ListBullet"/>
        <w:spacing w:after="40"/>
        <w:ind w:left="680"/>
      </w:pPr>
      <w:r>
        <w:rPr>
          <w:rFonts w:ascii="微软雅黑" w:hAnsi="微软雅黑" w:eastAsia="微软雅黑"/>
          <w:b w:val="0"/>
          <w:color w:val="5F6368"/>
          <w:sz w:val="21"/>
        </w:rPr>
        <w:t>危险化学品安全管理条例，国务院令591号</w:t>
      </w:r>
    </w:p>
    <w:p>
      <w:pPr>
        <w:pStyle w:val="ListBullet"/>
        <w:spacing w:after="40"/>
        <w:ind w:left="680"/>
      </w:pPr>
      <w:r>
        <w:rPr>
          <w:rFonts w:ascii="微软雅黑" w:hAnsi="微软雅黑" w:eastAsia="微软雅黑"/>
          <w:b w:val="0"/>
          <w:color w:val="5F6368"/>
          <w:sz w:val="21"/>
        </w:rPr>
        <w:t>GB/T 16483 化学品安全技术说明书内容和项目顺序</w:t>
      </w:r>
    </w:p>
    <w:p>
      <w:pPr>
        <w:pStyle w:val="ListBullet"/>
        <w:spacing w:after="40"/>
        <w:ind w:left="680"/>
      </w:pPr>
      <w:r>
        <w:rPr>
          <w:rFonts w:ascii="微软雅黑" w:hAnsi="微软雅黑" w:eastAsia="微软雅黑"/>
          <w:b w:val="0"/>
          <w:color w:val="5F6368"/>
          <w:sz w:val="21"/>
        </w:rPr>
        <w:t>GB 13690 化学品分类和危险性公示通则</w:t>
      </w:r>
    </w:p>
    <w:p>
      <w:pPr>
        <w:pStyle w:val="ListBullet"/>
        <w:spacing w:after="40"/>
        <w:ind w:left="680"/>
      </w:pPr>
      <w:r>
        <w:rPr>
          <w:rFonts w:ascii="微软雅黑" w:hAnsi="微软雅黑" w:eastAsia="微软雅黑"/>
          <w:b w:val="0"/>
          <w:color w:val="5F6368"/>
          <w:sz w:val="21"/>
        </w:rPr>
        <w:t>GB 30000.2-29 化学品分类和标签规范</w:t>
      </w:r>
    </w:p>
    <w:p>
      <w:pPr>
        <w:pStyle w:val="ListBullet"/>
        <w:spacing w:after="40"/>
        <w:ind w:left="680"/>
      </w:pPr>
      <w:r>
        <w:rPr>
          <w:rFonts w:ascii="微软雅黑" w:hAnsi="微软雅黑" w:eastAsia="微软雅黑"/>
          <w:b w:val="0"/>
          <w:color w:val="5F6368"/>
          <w:sz w:val="21"/>
        </w:rPr>
        <w:t>GB 15258 化学品安全标签编写规定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物质或混合物的相关安全、健康和环保法律法规</w:t>
      </w:r>
    </w:p>
    <w:p>
      <w:pPr>
        <w:pStyle w:val="Heading1"/>
      </w:pPr>
      <w:r>
        <w:t>16. 其他信息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b w:val="0"/>
          <w:color w:val="5F6368"/>
          <w:sz w:val="21"/>
        </w:rPr>
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/>
      <w:color w:val="1F4E7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3D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B6FD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