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水性羟基聚酯-丙烯酸分散体 PEA-4139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脂肪酸改性的水性羟基聚酯型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聚</w:t>
            </w:r>
            <w:r>
              <w:rPr>
                <w:rFonts w:hint="eastAsia" w:hAnsi="Arial"/>
                <w:sz w:val="24"/>
                <w:lang w:val="en-US" w:eastAsia="zh-CN"/>
              </w:rPr>
              <w:t>丙烯酸乳液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.2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  <w:p w14:paraId="2FC3EE19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H320造成眼睛刺激。</w:t>
            </w:r>
          </w:p>
          <w:p w14:paraId="5BC9D163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H332吸入有害。</w:t>
            </w:r>
          </w:p>
          <w:p w14:paraId="69C7070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H360可能对生育能力或胎儿造成伤害。</w:t>
            </w:r>
          </w:p>
          <w:p w14:paraId="29B6DAD0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H370可能对器官的伤害。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H373长期或重复暴露可能会对器官造成伤害（肝）。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03FBC47B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  <w:p w14:paraId="44E5B0C1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P280 戴防护手套/戴防护眼罩/戴防护面具。</w:t>
            </w:r>
          </w:p>
          <w:p w14:paraId="05F77B4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P370+P378 火灾时：使用雾状水、抗溶性泡沫、干粉或二氧化碳灭火。</w:t>
            </w:r>
          </w:p>
          <w:p w14:paraId="6202D753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P403+P235 存放在通风良好的地方。保持低温。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P501 按照当地法规处置内装物和容器。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.6  </w:t>
            </w:r>
            <w:r>
              <w:rPr>
                <w:rFonts w:hint="eastAsia" w:hAnsi="Arial"/>
                <w:b/>
                <w:sz w:val="24"/>
              </w:rPr>
              <w:t>其他危险：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437743EC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产品进入眼睛可能造成短暂刺激或不适。</w:t>
            </w:r>
          </w:p>
        </w:tc>
      </w:tr>
    </w:tbl>
    <w:p w14:paraId="0DCA4DD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ind w:left="0" w:right="480"/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/>
                <w:sz w:val="24"/>
              </w:rPr>
              <w:t>丙烯酸共聚物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ind w:left="0" w:right="480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  <w:tr w14:paraId="44B0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48D3CB1">
            <w:pPr>
              <w:keepNext w:val="0"/>
              <w:spacing w:line="300" w:lineRule="auto"/>
              <w:ind w:right="34" w:rightChars="0"/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二乙二醇单丁醚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8DFBEA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sz w:val="24"/>
              </w:rPr>
              <w:t>112-34-5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BF968A2">
            <w:pPr>
              <w:keepNext/>
              <w:spacing w:line="300" w:lineRule="auto"/>
              <w:ind w:right="48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&lt;3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8D5910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9B19EB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F311D7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1ECB119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54B4C05A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76℃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约130hPa在50℃</w:t>
            </w:r>
            <w:r>
              <w:rPr>
                <w:sz w:val="24"/>
              </w:rPr>
              <w:t xml:space="preserve">               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约1.06 g/cm³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  <w:bookmarkStart w:id="0" w:name="_GoBack"/>
            <w:bookmarkEnd w:id="0"/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＜400mPa·s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pStyle w:val="10"/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47±2%（150℃，30min）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正常使用条件下无已知危险反应；避免与强氧化剂、强酸和强碱接触。</w:t>
            </w:r>
          </w:p>
        </w:tc>
      </w:tr>
    </w:tbl>
    <w:p w14:paraId="76DC576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经口： 半数致死剂量（LD50）/大鼠：约3,306 mg/kg。</w:t>
            </w:r>
          </w:p>
          <w:p w14:paraId="7AEB2D25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吸入： 半数致死浓度（LC50）/4 h/大鼠： ＞1.5 mg/L（气溶胶）。 </w:t>
            </w:r>
          </w:p>
          <w:p w14:paraId="36BFA4FF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经皮： 半数致死剂量（LD50）/兔：2,764 mg/kg。 </w:t>
            </w:r>
          </w:p>
          <w:p w14:paraId="53CFEB9F">
            <w:pPr>
              <w:keepNext w:val="0"/>
              <w:spacing w:line="300" w:lineRule="auto"/>
              <w:ind w:right="48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spacing w:line="300" w:lineRule="auto"/>
              <w:ind w:right="480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根据现有动物试验，二乙二醇单丁醚未表现出明显的 生育能力损害、致畸作用或发育毒性。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spacing w:line="300" w:lineRule="auto"/>
              <w:ind w:right="480"/>
              <w:jc w:val="both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spacing w:line="300" w:lineRule="auto"/>
              <w:ind w:right="480"/>
              <w:jc w:val="both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spacing w:line="300" w:lineRule="auto"/>
              <w:ind w:left="1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spacing w:line="300" w:lineRule="auto"/>
              <w:jc w:val="both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004034B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F481B24"/>
    <w:rsid w:val="30481C3A"/>
    <w:rsid w:val="30673AA9"/>
    <w:rsid w:val="30F37B0B"/>
    <w:rsid w:val="316117B5"/>
    <w:rsid w:val="331F3435"/>
    <w:rsid w:val="33E971EE"/>
    <w:rsid w:val="35F7037B"/>
    <w:rsid w:val="3604449F"/>
    <w:rsid w:val="36327236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9686DA3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2894</Words>
  <Characters>3401</Characters>
  <Lines>18</Lines>
  <Paragraphs>5</Paragraphs>
  <TotalTime>2</TotalTime>
  <ScaleCrop>false</ScaleCrop>
  <LinksUpToDate>false</LinksUpToDate>
  <CharactersWithSpaces>3615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2026-08-07T01:36:08Z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