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</w:tcPr>
          <w:p w14:paraId="0B9FE21E">
            <w:pPr>
              <w:keepNext/>
              <w:spacing w:line="300" w:lineRule="auto"/>
              <w:ind w:right="48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</w:tcPr>
          <w:p w14:paraId="72BD6BEE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  <w:p w14:paraId="7CE7F378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  <w:p w14:paraId="0419639F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  <w:p w14:paraId="652BCB8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  <w:p w14:paraId="5360AE83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center"/>
          </w:tcPr>
          <w:p w14:paraId="7FA6DA8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8D5910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59268D12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生物限值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：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AAF30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组分名称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2349C26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标准来源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6BAAB054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生物监测指标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432B5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生物限值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3956C8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采样时间</w:t>
            </w:r>
          </w:p>
        </w:tc>
      </w:tr>
      <w:tr w14:paraId="047AC3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96F3F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二甲苯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DE9F4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ACGIH(2009）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79D645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尿中甲基马尿酸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769FA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1.5g/g肌酐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C36237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班末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/>
            <w:vAlign w:val="top"/>
          </w:tcPr>
          <w:p w14:paraId="6786084F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/>
            <w:vAlign w:val="top"/>
          </w:tcPr>
          <w:p w14:paraId="7D5C178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  <w:bookmarkStart w:id="0" w:name="_GoBack"/>
            <w:bookmarkEnd w:id="0"/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SSK--GBK1-0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BZ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2828</Words>
  <Characters>3293</Characters>
  <Lines>18</Lines>
  <Paragraphs>5</Paragraphs>
  <TotalTime>59</TotalTime>
  <ScaleCrop>false</ScaleCrop>
  <LinksUpToDate>false</LinksUpToDate>
  <CharactersWithSpaces>3490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2026-08-14T06:56:56Z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