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PU-202B</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plastic coatings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58CFEA4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5265585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2.1</w:t>
              <w:tab/>
            </w:r>
            <w:r>
              <w:rPr>
                <w:rFonts w:ascii="Arial" w:hAnsi="Arial" w:eastAsia="Arial" w:cs="Arial"/>
                <w:b/>
                <w:sz w:val="19"/>
                <w:szCs w:val="19"/>
              </w:rPr>
              <w:t xml:space="preserve">GHS Hazard Classification:</w:t>
            </w:r>
          </w:p>
        </w:tc>
        <w:tc>
          <w:tcPr>
            <w:tcW w:w="6276" w:type="dxa"/>
            <w:tcBorders>
              <w:top w:val="dotted" w:color="auto" w:sz="4" w:space="0"/>
              <w:left w:val="dotted" w:color="auto" w:sz="4" w:space="0"/>
              <w:bottom w:val="dotted" w:color="auto" w:sz="4" w:space="0"/>
            </w:tcBorders>
            <w:vAlign w:val="center"/>
          </w:tcPr>
          <w:p w14:paraId="5E05F77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Reproductive toxicity (Category 1B), H360</w:t>
            </w:r>
          </w:p>
        </w:tc>
      </w:tr>
      <w:tr w14:paraId="1BAEF0F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53" w:hRule="atLeast"/>
        </w:trPr>
        <w:tc>
          <w:tcPr>
            <w:tcW w:w="3519" w:type="dxa"/>
            <w:tcBorders>
              <w:top w:val="dotted" w:color="auto" w:sz="4" w:space="0"/>
              <w:bottom w:val="dotted" w:color="auto" w:sz="4" w:space="0"/>
              <w:right w:val="dotted" w:color="auto" w:sz="4" w:space="0"/>
            </w:tcBorders>
            <w:vAlign w:val="center"/>
          </w:tcPr>
          <w:p w14:paraId="613D3BD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2.2</w:t>
              <w:tab/>
            </w:r>
            <w:r>
              <w:rPr>
                <w:rFonts w:ascii="Arial" w:hAnsi="Arial" w:eastAsia="Arial" w:cs="Arial"/>
                <w:b/>
                <w:sz w:val="19"/>
                <w:szCs w:val="19"/>
              </w:rPr>
              <w:t xml:space="preserve">GHS Label Elements:</w:t>
            </w:r>
          </w:p>
        </w:tc>
        <w:tc>
          <w:tcPr>
            <w:tcW w:w="6276" w:type="dxa"/>
            <w:tcBorders>
              <w:top w:val="dotted" w:color="auto" w:sz="4" w:space="0"/>
              <w:left w:val="dotted" w:color="auto" w:sz="4" w:space="0"/>
              <w:bottom w:val="dotted" w:color="auto" w:sz="4" w:space="0"/>
            </w:tcBorders>
            <w:vAlign w:val="center"/>
          </w:tcPr>
          <w:p w14:paraId="103A673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
            </w:r>
          </w:p>
        </w:tc>
      </w:tr>
      <w:tr w14:paraId="432D88C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B1CC2D8">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pPr>
            <w:r>
              <w:rPr>
                <w:rFonts w:ascii="Arial" w:hAnsi="Arial" w:eastAsia="Arial" w:cs="Arial"/>
                <w:b/>
                <w:sz w:val="19"/>
                <w:szCs w:val="19"/>
              </w:rPr>
              <w:t xml:space="preserve">GHS Pictograms:</w:t>
            </w:r>
          </w:p>
        </w:tc>
        <w:tc>
          <w:tcPr>
            <w:tcW w:w="6276" w:type="dxa"/>
            <w:tcBorders>
              <w:top w:val="dotted" w:color="auto" w:sz="4" w:space="0"/>
              <w:left w:val="dotted" w:color="auto" w:sz="4" w:space="0"/>
              <w:bottom w:val="dotted" w:color="auto" w:sz="4" w:space="0"/>
            </w:tcBorders>
            <w:vAlign w:val="center"/>
          </w:tcPr>
          <w:p w14:paraId="698B97E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rFonts w:ascii="Arial" w:hAnsi="Arial" w:eastAsia="Arial" w:cs="Arial"/>
                <w:sz w:val="19"/>
                <w:szCs w:val="19"/>
              </w:rP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p>
        </w:tc>
      </w:tr>
      <w:tr w14:paraId="0D72AC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70C5F57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2.3</w:t>
              <w:tab/>
            </w:r>
            <w:r>
              <w:rPr>
                <w:rFonts w:ascii="Arial" w:hAnsi="Arial" w:eastAsia="Arial" w:cs="Arial"/>
                <w:b/>
                <w:sz w:val="19"/>
                <w:szCs w:val="19"/>
              </w:rPr>
              <w:t xml:space="preserve">Signal Word:</w:t>
            </w:r>
          </w:p>
        </w:tc>
        <w:tc>
          <w:tcPr>
            <w:tcW w:w="6276" w:type="dxa"/>
            <w:tcBorders>
              <w:top w:val="dotted" w:color="auto" w:sz="4" w:space="0"/>
              <w:left w:val="dotted" w:color="auto" w:sz="4" w:space="0"/>
              <w:bottom w:val="dotted" w:color="auto" w:sz="4" w:space="0"/>
            </w:tcBorders>
            <w:vAlign w:val="center"/>
          </w:tcPr>
          <w:p w14:paraId="6835187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Danger</w:t>
            </w:r>
          </w:p>
        </w:tc>
      </w:tr>
      <w:tr w14:paraId="40FDA4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1B9F7D79">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2.4</w:t>
              <w:tab/>
            </w:r>
            <w:r>
              <w:rPr>
                <w:rFonts w:ascii="Arial" w:hAnsi="Arial" w:eastAsia="Arial" w:cs="Arial"/>
                <w:b/>
                <w:sz w:val="19"/>
                <w:szCs w:val="19"/>
              </w:rPr>
              <w:t xml:space="preserve">Hazard Statements:</w:t>
            </w:r>
          </w:p>
        </w:tc>
        <w:tc>
          <w:tcPr>
            <w:tcW w:w="6276" w:type="dxa"/>
            <w:tcBorders>
              <w:top w:val="dotted" w:color="auto" w:sz="4" w:space="0"/>
              <w:left w:val="dotted" w:color="auto" w:sz="4" w:space="0"/>
              <w:bottom w:val="dotted" w:color="auto" w:sz="4" w:space="0"/>
            </w:tcBorders>
            <w:vAlign w:val="center"/>
          </w:tcPr>
          <w:p w14:paraId="7386FB9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H360: May damage the unborn child.</w:t>
            </w:r>
          </w:p>
        </w:tc>
      </w:tr>
      <w:tr w14:paraId="76C1C02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0CA834F1">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2.5</w:t>
              <w:tab/>
            </w:r>
            <w:r>
              <w:rPr>
                <w:rFonts w:ascii="Arial" w:hAnsi="Arial" w:eastAsia="Arial" w:cs="Arial"/>
                <w:b/>
                <w:sz w:val="19"/>
                <w:szCs w:val="19"/>
              </w:rPr>
              <w:t xml:space="preserve">Precautionary Statements:</w:t>
            </w:r>
          </w:p>
        </w:tc>
        <w:tc>
          <w:tcPr>
            <w:tcW w:w="6276" w:type="dxa"/>
            <w:tcBorders>
              <w:top w:val="dotted" w:color="auto" w:sz="4" w:space="0"/>
              <w:left w:val="dotted" w:color="auto" w:sz="4" w:space="0"/>
              <w:bottom w:val="dotted" w:color="auto" w:sz="4" w:space="0"/>
            </w:tcBorders>
            <w:vAlign w:val="center"/>
          </w:tcPr>
          <w:p>
            <w:pPr>
              <w:jc w:val="left"/>
            </w:pPr>
            <w:r>
              <w:rPr>
                <w:rFonts w:ascii="Arial" w:hAnsi="Arial" w:eastAsia="Arial" w:cs="Arial"/>
                <w:b/>
                <w:sz w:val="19"/>
                <w:szCs w:val="19"/>
              </w:rPr>
              <w:t xml:space="preserve">Prevention:</w:t>
            </w:r>
          </w:p>
          <w:p>
            <w:pPr>
              <w:jc w:val="left"/>
            </w:pPr>
            <w:r>
              <w:rPr>
                <w:rFonts w:ascii="Arial" w:hAnsi="Arial" w:eastAsia="Arial" w:cs="Arial"/>
                <w:sz w:val="19"/>
                <w:szCs w:val="19"/>
              </w:rPr>
              <w:t xml:space="preserve">P201: Obtain special instructions before use.</w:t>
            </w:r>
          </w:p>
          <w:p>
            <w:pPr>
              <w:jc w:val="left"/>
            </w:pPr>
            <w:r>
              <w:rPr>
                <w:rFonts w:ascii="Arial" w:hAnsi="Arial" w:eastAsia="Arial" w:cs="Arial"/>
                <w:sz w:val="19"/>
                <w:szCs w:val="19"/>
              </w:rPr>
              <w:t xml:space="preserve">P202: Do not handle until all safety precautions have been read and understood.</w:t>
            </w:r>
          </w:p>
          <w:p>
            <w:pPr>
              <w:jc w:val="left"/>
            </w:pPr>
            <w:r>
              <w:rPr>
                <w:rFonts w:ascii="Arial" w:hAnsi="Arial" w:eastAsia="Arial" w:cs="Arial"/>
                <w:sz w:val="19"/>
                <w:szCs w:val="19"/>
              </w:rPr>
              <w:t xml:space="preserve">P280: Wear protective gloves/protective clothing/eye protection/face protection.</w:t>
            </w:r>
          </w:p>
          <w:p>
            <w:pPr>
              <w:jc w:val="left"/>
            </w:pPr>
            <w:r>
              <w:rPr>
                <w:rFonts w:ascii="Arial" w:hAnsi="Arial" w:eastAsia="Arial" w:cs="Arial"/>
                <w:b/>
                <w:sz w:val="19"/>
                <w:szCs w:val="19"/>
              </w:rPr>
              <w:t xml:space="preserve">Response:</w:t>
            </w:r>
          </w:p>
          <w:p>
            <w:pPr>
              <w:jc w:val="left"/>
            </w:pPr>
            <w:r>
              <w:rPr>
                <w:rFonts w:ascii="Arial" w:hAnsi="Arial" w:eastAsia="Arial" w:cs="Arial"/>
                <w:sz w:val="19"/>
                <w:szCs w:val="19"/>
              </w:rPr>
              <w:t xml:space="preserve">P308 + P313: IF exposed or concerned: Get medical advice/attention.</w:t>
            </w:r>
          </w:p>
          <w:p>
            <w:pPr>
              <w:jc w:val="left"/>
            </w:pPr>
            <w:r>
              <w:rPr>
                <w:rFonts w:ascii="Arial" w:hAnsi="Arial" w:eastAsia="Arial" w:cs="Arial"/>
                <w:b/>
                <w:sz w:val="19"/>
                <w:szCs w:val="19"/>
              </w:rPr>
              <w:t xml:space="preserve">Storage:</w:t>
            </w:r>
          </w:p>
          <w:p>
            <w:pPr>
              <w:jc w:val="left"/>
            </w:pPr>
            <w:r>
              <w:rPr>
                <w:rFonts w:ascii="Arial" w:hAnsi="Arial" w:eastAsia="Arial" w:cs="Arial"/>
                <w:sz w:val="19"/>
                <w:szCs w:val="19"/>
              </w:rPr>
              <w:t xml:space="preserve">P405: Store locked up.</w:t>
            </w:r>
          </w:p>
          <w:p>
            <w:pPr>
              <w:jc w:val="left"/>
            </w:pPr>
            <w:r>
              <w:rPr>
                <w:rFonts w:ascii="Arial" w:hAnsi="Arial" w:eastAsia="Arial" w:cs="Arial"/>
                <w:b/>
                <w:sz w:val="19"/>
                <w:szCs w:val="19"/>
              </w:rPr>
              <w:t xml:space="preserve">Disposal:</w:t>
            </w:r>
          </w:p>
          <w:p>
            <w:pPr>
              <w:jc w:val="left"/>
            </w:pPr>
            <w:r>
              <w:rPr>
                <w:rFonts w:ascii="Arial" w:hAnsi="Arial" w:eastAsia="Arial" w:cs="Arial"/>
                <w:sz w:val="19"/>
                <w:szCs w:val="19"/>
              </w:rPr>
              <w:t xml:space="preserve">P501: Dispose of contents/container in accordance with local/regional/national/international regulations.</w:t>
            </w:r>
          </w:p>
        </w:tc>
      </w:tr>
      <w:tr w14:paraId="3109C6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C1E34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2.6</w:t>
              <w:tab/>
            </w:r>
            <w:r>
              <w:rPr>
                <w:rFonts w:ascii="Arial" w:hAnsi="Arial" w:eastAsia="Arial" w:cs="Arial"/>
                <w:b/>
                <w:sz w:val="19"/>
                <w:szCs w:val="19"/>
              </w:rPr>
              <w:t xml:space="preserve">Other Hazards:</w:t>
            </w:r>
          </w:p>
        </w:tc>
        <w:tc>
          <w:tcPr>
            <w:tcW w:w="6276" w:type="dxa"/>
            <w:tcBorders>
              <w:top w:val="dotted" w:color="auto" w:sz="4" w:space="0"/>
              <w:left w:val="dotted" w:color="auto" w:sz="4" w:space="0"/>
              <w:bottom w:val="dotted" w:color="auto" w:sz="4" w:space="0"/>
            </w:tcBorders>
            <w:vAlign w:val="center"/>
          </w:tcPr>
          <w:p w14:paraId="3569688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Risk of cutaneous absorption of N-Methyl-2-pyrrolidone (NMP).</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26.0~29.0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59.0~63.0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N-Methyl-2-pyrrolidone (NMP)</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872-50-4</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11.0~12.0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28±2%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19"/>
              </w:rPr>
            </w:pPr>
            <w:r>
              <w:rPr>
                <w:rFonts w:ascii="Arial" w:hAnsi="Arial" w:cs="Arial"/>
                <w:b w:val="0"/>
                <w:sz w:val="19"/>
                <w:szCs w:val="19"/>
              </w:rPr>
              <w:t xml:space="preserve">The following are toxicological data for N-Methyl-2-pyrrolidone (NMP):</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4,150mg/kg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&gt; 5.1mg/l</w:t>
              <w:br/>
              <w:t>LC50 / Inhalation / 4h / Rat: &gt; 5.1mg/l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14:paraId="146B658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&gt; 5,000mg/kg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Causes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Causes serious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Mouse</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No mutagenic effects observed in bacterial or mammalian cell cultures. No mutagenic effects observed in animal studies.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1999" w:type="dxa"/>
            <w:gridSpan w:val="2"/>
            <w:tcBorders>
              <w:top w:val="dotted" w:color="auto" w:sz="4" w:space="0"/>
              <w:left w:val="dotted" w:color="auto" w:sz="4" w:space="0"/>
              <w:bottom w:val="dotted" w:color="auto" w:sz="4" w:space="0"/>
              <w:right w:val="dotted" w:color="auto" w:sz="4" w:space="0"/>
            </w:tcBorders>
            <w:vAlign w:val="center"/>
          </w:tcPr>
          <w:p w14:paraId="3863229A">
            <w:pPr>
              <w:keepNext w:val="0"/>
              <w:keepLines w:val="0"/>
              <w:pageBreakBefore w:val="0"/>
              <w:widowControl w:val="0"/>
              <w:kinsoku/>
              <w:wordWrap/>
              <w:overflowPunct/>
              <w:topLinePunct w:val="0"/>
              <w:autoSpaceDE/>
              <w:autoSpaceDN/>
              <w:bidi w:val="0"/>
              <w:adjustRightInd/>
              <w:snapToGrid/>
              <w:textAlignment w:val="auto"/>
              <w:rPr>
                <w:rFonts w:hint="eastAsia" w:hAnsi="Arial" w:eastAsia="宋体"/>
                <w:b/>
                <w:bCs/>
                <w:sz w:val="24"/>
                <w:lang w:val="en-US" w:eastAsia="zh-CN"/>
              </w:rPr>
              <w:jc w:val="left"/>
            </w:pPr>
            <w:r>
              <w:rPr>
                <w:rFonts w:ascii="Arial" w:hAnsi="Arial" w:eastAsia="Arial" w:cs="Arial"/>
                <w:b/>
                <w:sz w:val="19"/>
                <w:szCs w:val="19"/>
              </w:rPr>
              <w:t xml:space="preserve">Fertility:</w:t>
            </w:r>
          </w:p>
        </w:tc>
        <w:tc>
          <w:tcPr>
            <w:tcW w:w="4263" w:type="dxa"/>
            <w:tcBorders>
              <w:top w:val="dotted" w:color="auto" w:sz="4" w:space="0"/>
              <w:left w:val="dotted" w:color="auto" w:sz="4" w:space="0"/>
              <w:bottom w:val="dotted" w:color="auto" w:sz="4" w:space="0"/>
            </w:tcBorders>
            <w:vAlign w:val="center"/>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experiments showed risks of impaired fertility only at high doses.</w:t>
            </w:r>
          </w:p>
        </w:tc>
      </w:tr>
      <w:tr w14:paraId="711777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237CBC02">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99" w:type="dxa"/>
            <w:gridSpan w:val="2"/>
            <w:tcBorders>
              <w:top w:val="dotted" w:color="auto" w:sz="4" w:space="0"/>
              <w:left w:val="dotted" w:color="auto" w:sz="4" w:space="0"/>
              <w:bottom w:val="dotted" w:color="auto" w:sz="4" w:space="0"/>
              <w:right w:val="dotted" w:color="auto" w:sz="4" w:space="0"/>
            </w:tcBorders>
            <w:vAlign w:val="center"/>
          </w:tcPr>
          <w:p w14:paraId="61059801">
            <w:pPr>
              <w:keepNext w:val="0"/>
              <w:keepLines w:val="0"/>
              <w:pageBreakBefore w:val="0"/>
              <w:widowControl w:val="0"/>
              <w:kinsoku/>
              <w:wordWrap/>
              <w:overflowPunct/>
              <w:topLinePunct w:val="0"/>
              <w:autoSpaceDE/>
              <w:autoSpaceDN/>
              <w:bidi w:val="0"/>
              <w:adjustRightInd/>
              <w:snapToGrid/>
              <w:ind w:left="960" w:hanging="964" w:hangingChars="400"/>
              <w:jc w:val="left"/>
              <w:textAlignment w:val="auto"/>
              <w:rPr>
                <w:rFonts w:hint="eastAsia" w:ascii="宋体" w:hAnsi="宋体" w:eastAsia="宋体" w:cs="宋体"/>
                <w:b/>
                <w:bCs/>
                <w:sz w:val="24"/>
                <w:szCs w:val="24"/>
                <w:lang w:eastAsia="zh-CN"/>
              </w:rPr>
            </w:pPr>
            <w:r>
              <w:rPr>
                <w:rFonts w:hint="eastAsia" w:hAnsi="Arial"/>
                <w:b/>
                <w:sz w:val="24"/>
              </w:rPr>
              <w:t>Teratogenicity</w:t>
            </w:r>
            <w:r>
              <w:rPr>
                <w:rFonts w:hint="eastAsia" w:hAnsi="Arial"/>
                <w:b/>
                <w:sz w:val="24"/>
                <w:lang w:eastAsia="zh-CN"/>
              </w:rPr>
              <w:t>:</w:t>
            </w:r>
          </w:p>
        </w:tc>
        <w:tc>
          <w:tcPr>
            <w:tcW w:w="4263" w:type="dxa"/>
            <w:tcBorders>
              <w:top w:val="dotted" w:color="auto" w:sz="4" w:space="0"/>
              <w:left w:val="dotted" w:color="auto" w:sz="4" w:space="0"/>
              <w:bottom w:val="dotted" w:color="auto" w:sz="4" w:space="0"/>
            </w:tcBorders>
            <w:vAlign w:val="center"/>
          </w:tcPr>
          <w:p w14:paraId="61696E4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experiments showed teratogenic effects. May damage the unborn child.</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May cause respiratory irritation.</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14:paraId="715C379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Risk of cutaneous absorption of N-Methyl-2-pyrrolidone (NMP).</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N-Methyl-2-pyrrolidone (NMP):</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Oncorhynchus mykiss (rainbow trout): 500mg/l</w:t>
              <w:br/>
              <w:t>Other:</w:t>
              <w:br/>
              <w:t>EC50 / 72 h / Algae: ＞500mg/l</w:t>
              <w:br/>
              <w:t>EC50 / 24 h / Daphnia magna: ＞1,000mg/l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Biodegradability: 73 %, 28 d, readily biodegradable.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PU-202B-MSDS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2026/10/30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PU-202B</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22661500_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