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Default Extension="png" ContentType="image/png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6262"/>
      </w:tblGrid>
      <w:tr w14:paraId="5CF589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2"/>
            <w:tcBorders>
              <w:bottom w:val="single" w:color="auto" w:sz="4" w:space="0"/>
            </w:tcBorders>
            <w:shd w:val="clear" w:color="auto" w:fill="D9D9D9"/>
          </w:tcPr>
          <w:p w14:paraId="7313BC25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1.</w:t>
            </w:r>
            <w:r>
              <w:rPr>
                <w:rFonts w:hint="eastAsia" w:hAnsi="Arial"/>
                <w:b/>
                <w:sz w:val="24"/>
              </w:rPr>
              <w:t>物料及供应商标识</w:t>
            </w:r>
          </w:p>
        </w:tc>
      </w:tr>
      <w:tr w14:paraId="78CB78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1" w:hRule="atLeast"/>
        </w:trPr>
        <w:tc>
          <w:tcPr>
            <w:tcW w:w="3519" w:type="dxa"/>
            <w:tcBorders>
              <w:bottom w:val="dotted" w:color="auto" w:sz="4" w:space="0"/>
              <w:right w:val="dotted" w:color="auto" w:sz="4" w:space="0"/>
            </w:tcBorders>
            <w:vAlign w:val="center"/>
          </w:tcPr>
          <w:p w14:paraId="521EB05A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1.1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 w:cs="Arial"/>
                <w:b/>
                <w:bCs/>
                <w:kern w:val="0"/>
                <w:sz w:val="24"/>
              </w:rPr>
              <w:t>产品名称：</w:t>
            </w:r>
          </w:p>
        </w:tc>
        <w:tc>
          <w:tcPr>
            <w:tcW w:w="6262" w:type="dxa"/>
            <w:tcBorders>
              <w:left w:val="dotted" w:color="auto" w:sz="4" w:space="0"/>
              <w:bottom w:val="dotted" w:color="auto" w:sz="4" w:space="0"/>
            </w:tcBorders>
            <w:vAlign w:val="center"/>
          </w:tcPr>
          <w:p w14:paraId="1D70008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 w:eastAsia="宋体"/>
                <w:sz w:val="24"/>
                <w:lang w:val="en-US" w:eastAsia="zh-CN"/>
              </w:rPr>
            </w:pPr>
            <w:r>
              <w:rPr>
                <w:rFonts w:eastAsia="宋体"/>
                <w:b w:val="0"/>
                <w:bCs w:val="0"/>
                <w:sz w:val="24"/>
                <w:szCs w:val="24"/>
              </w:rPr>
              <w:t/>
            </w:r>
          </w:p>
        </w:tc>
      </w:tr>
      <w:tr w14:paraId="157713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0F287D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/>
                <w:b/>
                <w:sz w:val="24"/>
              </w:rPr>
              <w:t>中文名称：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6BEE796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 w:eastAsia="宋体"/>
                <w:sz w:val="24"/>
                <w:lang w:val="en-US" w:eastAsia="zh-CN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  <w:lang w:val="en-US" w:eastAsia="zh-CN"/>
              </w:rPr>
              <w:t>水性聚氨酯分散体 PU-202B</w:t>
            </w:r>
          </w:p>
        </w:tc>
      </w:tr>
      <w:tr w14:paraId="6D1B49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017740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/>
                <w:b/>
                <w:sz w:val="24"/>
              </w:rPr>
              <w:t>化学品分类：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68E7129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/>
                <w:sz w:val="24"/>
                <w:lang w:val="en-US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  <w:lang w:val="en-US" w:eastAsia="zh-CN"/>
              </w:rPr>
              <w:t>改性聚氨酯树脂水分散体</w:t>
            </w:r>
          </w:p>
        </w:tc>
      </w:tr>
      <w:tr w14:paraId="2204C2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E4688DD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1.2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产品使用建议和使用限制</w:t>
            </w:r>
            <w:r>
              <w:rPr>
                <w:rFonts w:hint="eastAsia" w:hAnsi="Arial"/>
                <w:b/>
                <w:sz w:val="24"/>
                <w:lang w:eastAsia="zh-CN"/>
              </w:rPr>
              <w:t>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34EE8BF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eastAsia="宋体"/>
                <w:sz w:val="24"/>
                <w:lang w:val="en-US" w:eastAsia="zh-CN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  <w:lang w:val="en-US" w:eastAsia="zh-CN"/>
              </w:rPr>
              <w:t>应用于皮革涂饰、纺织涂层、纸张印刷、塑料涂层等行业。</w:t>
            </w:r>
          </w:p>
        </w:tc>
      </w:tr>
      <w:tr w14:paraId="46B4D6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0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925BC1F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1.3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 w:cs="Arial"/>
                <w:b/>
                <w:bCs/>
                <w:kern w:val="0"/>
                <w:sz w:val="24"/>
              </w:rPr>
              <w:t>供应商信息：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7A4A000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</w:rPr>
            </w:pPr>
          </w:p>
        </w:tc>
      </w:tr>
      <w:tr w14:paraId="0BA7DD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86A975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8" w:leftChars="218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cs="Arial"/>
                <w:b/>
                <w:bCs/>
                <w:kern w:val="0"/>
                <w:sz w:val="24"/>
              </w:rPr>
              <w:t>供应商名称：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1B02DD5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cs="宋体"/>
                <w:sz w:val="24"/>
              </w:rPr>
            </w:pPr>
            <w:r>
              <w:rPr>
                <w:rFonts w:hint="eastAsia" w:cs="Arial" w:eastAsia="宋体"/>
                <w:b w:val="0"/>
                <w:bCs w:val="0"/>
                <w:kern w:val="0"/>
                <w:sz w:val="24"/>
                <w:szCs w:val="24"/>
              </w:rPr>
              <w:t>广州冠志新材料科技有限公司</w:t>
            </w:r>
          </w:p>
        </w:tc>
      </w:tr>
      <w:tr w14:paraId="72A8A4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2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366903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6" w:leftChars="217" w:firstLine="2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 w:cs="Arial"/>
                <w:b/>
                <w:bCs/>
                <w:kern w:val="0"/>
                <w:sz w:val="24"/>
              </w:rPr>
              <w:t>供应商地址：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6BFC355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广州市萝岗区科学城掬泉路3号广州国际企业孵化器A区1106室</w:t>
            </w:r>
          </w:p>
        </w:tc>
      </w:tr>
      <w:tr w14:paraId="29EEE7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4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2D9666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6" w:leftChars="217" w:right="482" w:firstLine="2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cs="Arial"/>
                <w:b/>
                <w:bCs/>
                <w:kern w:val="0"/>
                <w:sz w:val="24"/>
              </w:rPr>
              <w:t>电话：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4577C10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</w:rPr>
            </w:pPr>
            <w:r>
              <w:rPr>
                <w:rFonts w:eastAsia="宋体"/>
                <w:b w:val="0"/>
                <w:bCs w:val="0"/>
                <w:sz w:val="24"/>
                <w:szCs w:val="24"/>
              </w:rPr>
              <w:t>86-20-82567990</w:t>
            </w:r>
          </w:p>
        </w:tc>
      </w:tr>
      <w:tr w14:paraId="5D5736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2" w:hRule="atLeast"/>
        </w:trPr>
        <w:tc>
          <w:tcPr>
            <w:tcW w:w="3519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50ACE57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6" w:leftChars="217" w:right="482" w:firstLine="2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cs="Arial"/>
                <w:b/>
                <w:bCs/>
                <w:kern w:val="0"/>
                <w:sz w:val="24"/>
              </w:rPr>
              <w:t>传真：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  <w:vAlign w:val="center"/>
          </w:tcPr>
          <w:p w14:paraId="498C980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</w:rPr>
            </w:pPr>
            <w:r>
              <w:rPr>
                <w:rFonts w:eastAsia="宋体"/>
                <w:b w:val="0"/>
                <w:bCs w:val="0"/>
                <w:sz w:val="24"/>
                <w:szCs w:val="24"/>
              </w:rPr>
              <w:t>86-20-32214789</w:t>
            </w:r>
          </w:p>
        </w:tc>
      </w:tr>
    </w:tbl>
    <w:p w14:paraId="5C83CB76">
      <w:pPr>
        <w:spacing w:line="300" w:lineRule="auto"/>
        <w:ind w:right="480"/>
        <w:rPr>
          <w:sz w:val="24"/>
        </w:rPr>
      </w:pPr>
    </w:p>
    <w:tbl>
      <w:tblPr>
        <w:tblStyle w:val="4"/>
        <w:tblW w:w="9795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6276"/>
      </w:tblGrid>
      <w:tr w14:paraId="78F537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95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4A47552F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2.危险性概述</w:t>
            </w:r>
          </w:p>
        </w:tc>
      </w:tr>
      <w:tr w14:paraId="58CFEA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5" w:hRule="atLeast"/>
        </w:trPr>
        <w:tc>
          <w:tcPr>
            <w:tcW w:w="9795" w:type="dxa"/>
            <w:gridSpan w:val="2"/>
            <w:vAlign w:val="center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</w:tcPr>
          <w:p>
            <w:pPr>
              <w:spacing w:line="300" w:lineRule="auto"/>
            </w:pPr>
            <w:r>
              <w:rPr>
                <w:rFonts w:hint="eastAsia" w:ascii="Times New Roman" w:hAnsi="Times New Roman" w:eastAsia="宋体"/>
                <w:sz w:val="24"/>
                <w:b/>
              </w:rPr>
              <w:t xml:space="preserve">2.1 GHS危险性类别：</w:t>
            </w:r>
          </w:p>
          <w:p>
            <w:pPr>
              <w:spacing w:line="300" w:lineRule="auto"/>
              <w:ind w:firstLine="480" w:right="48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生殖毒性物质，类别1B（H360）</w:t>
            </w:r>
          </w:p>
          <w:p>
            <w:pPr>
              <w:spacing w:line="300" w:lineRule="auto" w:before="240"/>
            </w:pPr>
            <w:r>
              <w:rPr>
                <w:rFonts w:hint="eastAsia" w:ascii="Times New Roman" w:hAnsi="Times New Roman" w:eastAsia="宋体"/>
                <w:sz w:val="24"/>
                <w:b/>
              </w:rPr>
              <w:t xml:space="preserve">2.2 GHS标签要素：</w:t>
            </w:r>
          </w:p>
          <w:p>
            <w:pPr>
              <w:spacing w:line="300" w:lineRule="auto"/>
            </w:pPr>
            <w:r>
              <w:rPr>
                <w:rFonts w:hint="eastAsia" w:ascii="Times New Roman" w:hAnsi="Times New Roman" w:eastAsia="宋体"/>
                <w:sz w:val="24"/>
                <w:b/>
              </w:rPr>
              <w:t xml:space="preserve">GHS象形图：</w:t>
            </w:r>
          </w:p>
          <w:p>
            <w:pPr>
              <w:jc w:val="left"/>
            </w:pPr>
            <w:r>
              <w:drawing>
                <wp:inline distT="0" distB="0" distL="114300" distR="114300">
                  <wp:extent cx="1080135" cy="1035050"/>
                  <wp:effectExtent l="0" t="0" r="5715" b="12700"/>
                  <wp:docPr id="7" name="图片 7" descr="a7b9e896460dc52dc6206ee221eea8f5_5bf3c34a9a96f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图片 7" descr="a7b9e896460dc52dc6206ee221eea8f5_5bf3c34a9a96f"/>
                          <pic:cNvPicPr>
                            <a:picLocks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135" cy="1035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300" w:lineRule="auto"/>
            </w:pPr>
            <w:r>
              <w:rPr>
                <w:rFonts w:hint="eastAsia" w:ascii="Times New Roman" w:hAnsi="Times New Roman" w:eastAsia="宋体"/>
                <w:sz w:val="24"/>
                <w:b/>
              </w:rPr>
              <w:t xml:space="preserve">信号词：</w:t>
            </w:r>
            <w:r>
              <w:rPr>
                <w:rFonts w:hint="eastAsia" w:ascii="Times New Roman" w:hAnsi="Times New Roman" w:eastAsia="宋体"/>
                <w:sz w:val="24"/>
              </w:rPr>
              <w:t xml:space="preserve">危险</w:t>
            </w:r>
          </w:p>
          <w:p>
            <w:pPr>
              <w:spacing w:line="300" w:lineRule="auto" w:before="240"/>
            </w:pPr>
            <w:r>
              <w:rPr>
                <w:rFonts w:hint="eastAsia" w:ascii="Times New Roman" w:hAnsi="Times New Roman" w:eastAsia="宋体"/>
                <w:sz w:val="24"/>
                <w:b/>
              </w:rPr>
              <w:t xml:space="preserve">危险性说明：</w:t>
            </w:r>
          </w:p>
          <w:p>
            <w:pPr>
              <w:spacing w:line="300" w:lineRule="auto"/>
              <w:ind w:left="48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H360可能对胎儿造成伤害。</w:t>
            </w:r>
          </w:p>
          <w:p>
            <w:pPr>
              <w:spacing w:line="300" w:lineRule="auto" w:before="240"/>
            </w:pPr>
            <w:r>
              <w:rPr>
                <w:rFonts w:hint="eastAsia" w:ascii="Times New Roman" w:hAnsi="Times New Roman" w:eastAsia="宋体"/>
                <w:sz w:val="24"/>
                <w:b/>
              </w:rPr>
              <w:t xml:space="preserve">防范说明：</w:t>
            </w:r>
          </w:p>
          <w:p>
            <w:pPr>
              <w:spacing w:line="300" w:lineRule="auto"/>
              <w:ind w:left="480"/>
            </w:pPr>
            <w:r>
              <w:rPr>
                <w:rFonts w:hint="eastAsia" w:ascii="Times New Roman" w:hAnsi="Times New Roman" w:eastAsia="宋体"/>
                <w:sz w:val="24"/>
                <w:b/>
              </w:rPr>
              <w:t xml:space="preserve">预防措施：</w:t>
            </w:r>
          </w:p>
          <w:p>
            <w:pPr>
              <w:spacing w:line="300" w:lineRule="auto"/>
              <w:ind w:left="96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        P201 在使用前获取特别指示。</w:t>
            </w:r>
          </w:p>
          <w:p>
            <w:pPr>
              <w:spacing w:line="300" w:lineRule="auto"/>
              <w:ind w:left="96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        P202 在阅读并了解所有安全预防措施之前，切勿操作与处置。</w:t>
            </w:r>
          </w:p>
          <w:p>
            <w:pPr>
              <w:spacing w:line="300" w:lineRule="auto"/>
              <w:ind w:left="96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        P280 戴防护手套/穿防护服/戴防护眼罩/戴防护面具。</w:t>
            </w:r>
          </w:p>
          <w:p>
            <w:pPr>
              <w:spacing w:line="300" w:lineRule="auto"/>
              <w:ind w:left="480"/>
            </w:pPr>
            <w:r>
              <w:rPr>
                <w:rFonts w:hint="eastAsia" w:ascii="Times New Roman" w:hAnsi="Times New Roman" w:eastAsia="宋体"/>
                <w:sz w:val="24"/>
                <w:b/>
              </w:rPr>
              <w:t xml:space="preserve">事故响应：</w:t>
            </w:r>
          </w:p>
          <w:p>
            <w:pPr>
              <w:spacing w:line="300" w:lineRule="auto"/>
              <w:ind w:left="96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        P308+P313 如接触到或有疑虑：求医/就诊。</w:t>
            </w:r>
          </w:p>
          <w:p>
            <w:pPr>
              <w:spacing w:line="300" w:lineRule="auto"/>
              <w:ind w:left="480"/>
            </w:pPr>
            <w:r>
              <w:rPr>
                <w:rFonts w:hint="eastAsia" w:ascii="Times New Roman" w:hAnsi="Times New Roman" w:eastAsia="宋体"/>
                <w:sz w:val="24"/>
                <w:b/>
              </w:rPr>
              <w:t xml:space="preserve">安全储存：</w:t>
            </w:r>
          </w:p>
          <w:p>
            <w:pPr>
              <w:spacing w:line="300" w:lineRule="auto"/>
              <w:ind w:left="96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        P405 储存处须加锁。</w:t>
            </w:r>
          </w:p>
          <w:p>
            <w:pPr>
              <w:spacing w:line="300" w:lineRule="auto"/>
              <w:ind w:left="480"/>
            </w:pPr>
            <w:r>
              <w:rPr>
                <w:rFonts w:hint="eastAsia" w:ascii="Times New Roman" w:hAnsi="Times New Roman" w:eastAsia="宋体"/>
                <w:sz w:val="24"/>
                <w:b/>
              </w:rPr>
              <w:t xml:space="preserve">废弃处置：</w:t>
            </w:r>
          </w:p>
          <w:p>
            <w:pPr>
              <w:spacing w:line="300" w:lineRule="auto"/>
              <w:ind w:left="96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        P501 处置内装物/容器按照当地规章。</w:t>
            </w:r>
          </w:p>
          <w:p>
            <w:pPr>
              <w:spacing w:line="300" w:lineRule="auto" w:before="240"/>
            </w:pPr>
            <w:r>
              <w:rPr>
                <w:rFonts w:hint="eastAsia" w:ascii="Times New Roman" w:hAnsi="Times New Roman" w:eastAsia="宋体"/>
                <w:sz w:val="24"/>
                <w:b/>
              </w:rPr>
              <w:t xml:space="preserve">2.3 其他危险：</w:t>
            </w:r>
            <w:r>
              <w:rPr>
                <w:rFonts w:hint="eastAsia" w:ascii="Times New Roman" w:hAnsi="Times New Roman" w:eastAsia="宋体"/>
                <w:sz w:val="24"/>
              </w:rPr>
              <w:t xml:space="preserve">可能存在透皮吸收N－甲基吡咯烷酮的危险。</w:t>
            </w:r>
          </w:p>
        </w:tc>
      </w:tr>
    </w:tbl>
    <w:p w14:paraId="275245E3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3153"/>
        <w:gridCol w:w="3109"/>
      </w:tblGrid>
      <w:tr w14:paraId="4941A5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3"/>
            <w:tcBorders>
              <w:bottom w:val="single" w:color="auto" w:sz="4" w:space="0"/>
            </w:tcBorders>
            <w:shd w:val="clear" w:color="auto" w:fill="D9D9D9"/>
          </w:tcPr>
          <w:p w14:paraId="09B56990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3. </w:t>
            </w:r>
            <w:r>
              <w:rPr>
                <w:rFonts w:hint="eastAsia" w:hAnsi="Arial"/>
                <w:b/>
                <w:sz w:val="24"/>
              </w:rPr>
              <w:t>成分</w:t>
            </w:r>
            <w:r>
              <w:rPr>
                <w:b/>
                <w:sz w:val="24"/>
              </w:rPr>
              <w:t>/</w:t>
            </w:r>
            <w:r>
              <w:rPr>
                <w:rFonts w:hint="eastAsia" w:hAnsi="Arial"/>
                <w:b/>
                <w:sz w:val="24"/>
              </w:rPr>
              <w:t>组成资料</w:t>
            </w:r>
          </w:p>
        </w:tc>
      </w:tr>
      <w:tr w14:paraId="127638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1" w:hRule="atLeast"/>
        </w:trPr>
        <w:tc>
          <w:tcPr>
            <w:tcW w:w="3519" w:type="dxa"/>
            <w:tcBorders>
              <w:top w:val="single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7FC97E5">
            <w:pPr>
              <w:keepNext w:val="0"/>
              <w:keepLines w:val="0"/>
              <w:pageBreakBefore w:val="0"/>
              <w:widowControl w:val="0"/>
              <w:numPr>
                <w:ilvl w:val="1"/>
                <w:numId w:val="1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9" w:right="34" w:hanging="459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 w:cs="Arial"/>
                <w:b/>
                <w:bCs/>
                <w:kern w:val="0"/>
                <w:sz w:val="24"/>
              </w:rPr>
              <w:t>产品类型：</w:t>
            </w:r>
          </w:p>
        </w:tc>
        <w:tc>
          <w:tcPr>
            <w:tcW w:w="6262" w:type="dxa"/>
            <w:gridSpan w:val="2"/>
            <w:tcBorders>
              <w:top w:val="single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</w:tcPr>
          <w:p w14:paraId="7AD476F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left"/>
              <w:textAlignment w:val="auto"/>
              <w:rPr>
                <w:rFonts w:cs="Arial"/>
                <w:kern w:val="0"/>
                <w:sz w:val="24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</w:rPr>
              <w:t>混合物</w:t>
            </w:r>
          </w:p>
        </w:tc>
      </w:tr>
      <w:tr w14:paraId="6B5EBE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1" w:hRule="atLeast"/>
        </w:trPr>
        <w:tc>
          <w:tcPr>
            <w:tcW w:w="3519" w:type="dxa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46E75D6">
            <w:pPr>
              <w:keepNext w:val="0"/>
              <w:keepLines w:val="0"/>
              <w:pageBreakBefore w:val="0"/>
              <w:widowControl w:val="0"/>
              <w:numPr>
                <w:ilvl w:val="1"/>
                <w:numId w:val="1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9" w:right="34" w:hanging="459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成分</w:t>
            </w:r>
          </w:p>
        </w:tc>
        <w:tc>
          <w:tcPr>
            <w:tcW w:w="3153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</w:tcPr>
          <w:p w14:paraId="4C59190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34"/>
              <w:jc w:val="left"/>
              <w:textAlignment w:val="auto"/>
              <w:rPr>
                <w:b/>
                <w:sz w:val="24"/>
              </w:rPr>
            </w:pPr>
          </w:p>
        </w:tc>
        <w:tc>
          <w:tcPr>
            <w:tcW w:w="3109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</w:tcPr>
          <w:p w14:paraId="153EEF5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34"/>
              <w:jc w:val="left"/>
              <w:textAlignment w:val="auto"/>
              <w:rPr>
                <w:b/>
                <w:sz w:val="24"/>
              </w:rPr>
            </w:pPr>
            <w:r>
              <w:rPr>
                <w:rFonts w:eastAsia="宋体"/>
                <w:b w:val="0"/>
                <w:bCs w:val="0"/>
                <w:sz w:val="24"/>
                <w:szCs w:val="24"/>
              </w:rPr>
              <w:t/>
            </w:r>
          </w:p>
        </w:tc>
      </w:tr>
      <w:tr w14:paraId="1AEA7C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1" w:hRule="atLeast"/>
        </w:trPr>
        <w:tc>
          <w:tcPr>
            <w:tcW w:w="3519" w:type="dxa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15C415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34"/>
              <w:jc w:val="center"/>
              <w:textAlignment w:val="auto"/>
              <w:rPr>
                <w:b/>
                <w:sz w:val="24"/>
                <w:u w:val="single"/>
              </w:rPr>
            </w:pPr>
            <w:r>
              <w:rPr>
                <w:rFonts w:hint="eastAsia"/>
                <w:b/>
                <w:sz w:val="24"/>
                <w:u w:val="single"/>
              </w:rPr>
              <w:t>化学品名称</w:t>
            </w:r>
          </w:p>
        </w:tc>
        <w:tc>
          <w:tcPr>
            <w:tcW w:w="3153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</w:tcPr>
          <w:p w14:paraId="52A8FC9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sz w:val="24"/>
                <w:u w:val="single"/>
              </w:rPr>
            </w:pPr>
            <w:r>
              <w:rPr>
                <w:sz w:val="24"/>
                <w:u w:val="single"/>
                <w:b/>
              </w:rPr>
              <w:t>CAS</w:t>
            </w:r>
            <w:r>
              <w:rPr>
                <w:rFonts w:hint="eastAsia"/>
                <w:sz w:val="24"/>
                <w:u w:val="single"/>
                <w:b/>
              </w:rPr>
              <w:t>编号</w:t>
            </w:r>
          </w:p>
        </w:tc>
        <w:tc>
          <w:tcPr>
            <w:tcW w:w="3109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</w:tcPr>
          <w:p w14:paraId="679A073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sz w:val="24"/>
                <w:u w:val="single"/>
              </w:rPr>
            </w:pPr>
            <w:r>
              <w:rPr>
                <w:rFonts w:hint="eastAsia"/>
                <w:sz w:val="24"/>
                <w:u w:val="single"/>
                <w:lang w:val="en-US" w:eastAsia="zh-CN"/>
                <w:b/>
              </w:rPr>
              <w:t>含量</w:t>
            </w:r>
            <w:r>
              <w:rPr>
                <w:sz w:val="24"/>
                <w:u w:val="single"/>
                <w:b/>
              </w:rPr>
              <w:t>%</w:t>
            </w:r>
            <w:r>
              <w:rPr>
                <w:rFonts w:hint="eastAsia" w:hAnsi="Arial"/>
                <w:sz w:val="24"/>
                <w:u w:val="single"/>
                <w:b/>
              </w:rPr>
              <w:t>（</w:t>
            </w:r>
            <w:r>
              <w:rPr>
                <w:sz w:val="24"/>
                <w:u w:val="single"/>
                <w:b/>
              </w:rPr>
              <w:t>w/w</w:t>
            </w:r>
            <w:r>
              <w:rPr>
                <w:rFonts w:hint="eastAsia" w:hAnsi="Arial"/>
                <w:sz w:val="24"/>
                <w:u w:val="single"/>
                <w:b/>
              </w:rPr>
              <w:t>）</w:t>
            </w:r>
          </w:p>
        </w:tc>
      </w:tr>
      <w:tr w14:paraId="63E346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1" w:hRule="atLeast"/>
        </w:trPr>
        <w:tc>
          <w:tcPr>
            <w:tcW w:w="3519" w:type="dxa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381875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cs="Times New Roman" w:eastAsia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聚氨酯分散体</w:t>
            </w:r>
          </w:p>
        </w:tc>
        <w:tc>
          <w:tcPr>
            <w:tcW w:w="3153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14B4F4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 w:rightChars="0"/>
              <w:jc w:val="center"/>
              <w:textAlignment w:val="auto"/>
              <w:rPr>
                <w:rFonts w:hint="eastAsia"/>
                <w:sz w:val="24"/>
                <w:lang w:val="en-US" w:eastAsia="zh-CN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  <w:lang w:val="en-US" w:eastAsia="zh-CN"/>
              </w:rPr>
              <w:t>9009-54-5</w:t>
            </w:r>
          </w:p>
        </w:tc>
        <w:tc>
          <w:tcPr>
            <w:tcW w:w="3109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61BED96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rFonts w:hint="default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  <w:lang w:val="en-US" w:eastAsia="zh-CN"/>
              </w:rPr>
              <w:t>26.0~29.0</w:t>
            </w:r>
          </w:p>
        </w:tc>
      </w:tr>
      <w:tr w14:paraId="72C913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3519" w:type="dxa"/>
            <w:tcBorders>
              <w:top w:val="dotted" w:color="auto" w:sz="4" w:space="0"/>
              <w:left w:val="single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78F19B6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cs="Times New Roman" w:eastAsia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去离子水</w:t>
            </w:r>
          </w:p>
        </w:tc>
        <w:tc>
          <w:tcPr>
            <w:tcW w:w="3153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67C31BA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rFonts w:hint="eastAsia"/>
                <w:sz w:val="24"/>
                <w:lang w:val="en-US" w:eastAsia="zh-CN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7732-18-5</w:t>
            </w:r>
          </w:p>
        </w:tc>
        <w:tc>
          <w:tcPr>
            <w:tcW w:w="3109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1482B2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rFonts w:hint="default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  <w:lang w:val="en-US" w:eastAsia="zh-CN"/>
              </w:rPr>
              <w:t>59.0~63.0</w:t>
            </w:r>
          </w:p>
        </w:tc>
      </w:tr>
      <w:tr w14:paraId="72C913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3519" w:type="dxa"/>
            <w:tcBorders>
              <w:top w:val="dotted" w:color="auto" w:sz="4" w:space="0"/>
              <w:left w:val="single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78F19B6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cs="Times New Roman" w:eastAsia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N－甲基吡咯烷酮(NMP)</w:t>
            </w:r>
          </w:p>
        </w:tc>
        <w:tc>
          <w:tcPr>
            <w:tcW w:w="3153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67C31BA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rFonts w:hint="eastAsia"/>
                <w:sz w:val="24"/>
                <w:lang w:val="en-US" w:eastAsia="zh-CN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872-50-4</w:t>
            </w:r>
          </w:p>
        </w:tc>
        <w:tc>
          <w:tcPr>
            <w:tcW w:w="3109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1482B2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rFonts w:hint="default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  <w:lang w:val="en-US" w:eastAsia="zh-CN"/>
              </w:rPr>
              <w:t>11.0~12.0</w:t>
            </w:r>
          </w:p>
        </w:tc>
      </w:tr>
    </w:tbl>
    <w:p w14:paraId="0E98C8E0">
      <w:pPr>
        <w:spacing w:line="300" w:lineRule="auto"/>
        <w:ind w:right="480"/>
        <w:rPr>
          <w:sz w:val="24"/>
        </w:rPr>
      </w:pPr>
    </w:p>
    <w:tbl>
      <w:tblPr>
        <w:tblStyle w:val="4"/>
        <w:tblW w:w="9795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6276"/>
      </w:tblGrid>
      <w:tr w14:paraId="7CA968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95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316D4642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4.</w:t>
            </w:r>
            <w:r>
              <w:rPr>
                <w:rFonts w:hint="eastAsia" w:hAnsi="Arial"/>
                <w:b/>
                <w:sz w:val="24"/>
              </w:rPr>
              <w:t>急救措施</w:t>
            </w:r>
          </w:p>
        </w:tc>
      </w:tr>
      <w:tr w14:paraId="79D8AD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5" w:hRule="atLeast"/>
        </w:trPr>
        <w:tc>
          <w:tcPr>
            <w:tcW w:w="3519" w:type="dxa"/>
            <w:tcBorders>
              <w:top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535DEE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4.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1  </w:t>
            </w:r>
            <w:r>
              <w:rPr>
                <w:rFonts w:hint="eastAsia" w:hAnsi="Arial"/>
                <w:b/>
                <w:sz w:val="24"/>
              </w:rPr>
              <w:t>一般措施：</w:t>
            </w:r>
          </w:p>
        </w:tc>
        <w:tc>
          <w:tcPr>
            <w:tcW w:w="6276" w:type="dxa"/>
            <w:tcBorders>
              <w:top w:val="single" w:color="auto" w:sz="4" w:space="0"/>
              <w:left w:val="dotted" w:color="auto" w:sz="4" w:space="0"/>
              <w:bottom w:val="dotted" w:color="auto" w:sz="4" w:space="0"/>
            </w:tcBorders>
          </w:tcPr>
          <w:p w14:paraId="606199B6">
            <w:pPr>
              <w:keepNext w:val="0"/>
              <w:spacing w:line="300" w:lineRule="auto"/>
              <w:jc w:val="left"/>
              <w:rPr>
                <w:rFonts w:hint="default"/>
                <w:b/>
                <w:sz w:val="24"/>
                <w:lang w:val="en-US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  <w:lang w:val="en-US" w:eastAsia="zh-CN"/>
              </w:rPr>
              <w:t>立即脱掉所有被污染的衣物。</w:t>
            </w:r>
          </w:p>
        </w:tc>
      </w:tr>
      <w:tr w14:paraId="4381FC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1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B9177F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4.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2  </w:t>
            </w:r>
            <w:r>
              <w:rPr>
                <w:rFonts w:hint="eastAsia"/>
                <w:b/>
                <w:sz w:val="24"/>
              </w:rPr>
              <w:t>误服：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34FA4C25">
            <w:pPr>
              <w:keepNext w:val="0"/>
              <w:spacing w:line="300" w:lineRule="auto"/>
              <w:jc w:val="left"/>
              <w:rPr>
                <w:rFonts w:hint="eastAsia" w:hAnsi="Arial" w:cs="Arial"/>
                <w:kern w:val="0"/>
                <w:sz w:val="24"/>
                <w:lang w:val="en-US" w:eastAsia="zh-CN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  <w:lang w:val="en-US" w:eastAsia="zh-CN"/>
              </w:rPr>
              <w:t>若意外吞食，不要催吐，立即就医。无意识时，不要经口喂食任何食物。</w:t>
            </w: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</w:r>
          </w:p>
        </w:tc>
      </w:tr>
      <w:tr w14:paraId="13DA66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3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F8215A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4.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3  </w:t>
            </w:r>
            <w:r>
              <w:rPr>
                <w:rFonts w:hint="eastAsia"/>
                <w:b/>
                <w:sz w:val="24"/>
              </w:rPr>
              <w:t>接触眼睛：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29451E4A">
            <w:pPr>
              <w:keepNext w:val="0"/>
              <w:spacing w:line="300" w:lineRule="auto"/>
              <w:jc w:val="left"/>
              <w:rPr>
                <w:rFonts w:hint="eastAsia" w:hAnsi="Arial" w:cs="Arial"/>
                <w:kern w:val="0"/>
                <w:sz w:val="24"/>
                <w:lang w:val="en-US" w:eastAsia="zh-CN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  <w:lang w:val="en-US" w:eastAsia="zh-CN"/>
              </w:rPr>
              <w:t>立即翻起上下眼睑用大量缓和流动的水清洗眼睛至少20 分钟。且将头倾斜，避免化学品流入另一只未受污染的眼睛，并立即就医。</w:t>
            </w:r>
          </w:p>
        </w:tc>
      </w:tr>
      <w:tr w14:paraId="3BF0F3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9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446D49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4.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4  </w:t>
            </w:r>
            <w:r>
              <w:rPr>
                <w:rFonts w:hint="eastAsia"/>
                <w:b/>
                <w:sz w:val="24"/>
              </w:rPr>
              <w:t>接触皮肤：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73C07DAD">
            <w:pPr>
              <w:keepNext w:val="0"/>
              <w:spacing w:line="300" w:lineRule="auto"/>
              <w:jc w:val="left"/>
              <w:rPr>
                <w:rFonts w:hint="default" w:hAnsi="Arial" w:cs="Arial"/>
                <w:kern w:val="0"/>
                <w:sz w:val="24"/>
                <w:lang w:val="en-US" w:eastAsia="zh-CN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立即用肥皂和大量的水冲洗。若发生皮肤反应，就医。</w:t>
            </w:r>
          </w:p>
        </w:tc>
      </w:tr>
      <w:tr w14:paraId="79F418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9" w:hRule="atLeast"/>
        </w:trPr>
        <w:tc>
          <w:tcPr>
            <w:tcW w:w="3519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255F14B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4.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5  </w:t>
            </w:r>
            <w:r>
              <w:rPr>
                <w:rFonts w:hint="eastAsia"/>
                <w:b/>
                <w:sz w:val="24"/>
              </w:rPr>
              <w:t>吸入：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</w:tcPr>
          <w:p w14:paraId="3AF80536">
            <w:pPr>
              <w:keepNext w:val="0"/>
              <w:spacing w:line="300" w:lineRule="auto"/>
              <w:jc w:val="left"/>
              <w:rPr>
                <w:rFonts w:hint="eastAsia" w:hAnsi="Arial" w:cs="Arial"/>
                <w:kern w:val="0"/>
                <w:sz w:val="24"/>
                <w:lang w:val="en-US" w:eastAsia="zh-CN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  <w:lang w:val="en-US" w:eastAsia="zh-CN"/>
              </w:rPr>
              <w:t>一旦吸入，如有不适，就医。</w:t>
            </w:r>
          </w:p>
        </w:tc>
      </w:tr>
    </w:tbl>
    <w:p w14:paraId="29F19B8A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6262"/>
      </w:tblGrid>
      <w:tr w14:paraId="78CFA6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486C1B66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5.</w:t>
            </w:r>
            <w:r>
              <w:rPr>
                <w:rFonts w:hint="eastAsia" w:hAnsi="Arial"/>
                <w:b/>
                <w:sz w:val="24"/>
              </w:rPr>
              <w:t>消防措施</w:t>
            </w:r>
          </w:p>
        </w:tc>
      </w:tr>
      <w:tr w14:paraId="59313C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0" w:hRule="atLeast"/>
        </w:trPr>
        <w:tc>
          <w:tcPr>
            <w:tcW w:w="3519" w:type="dxa"/>
            <w:tcBorders>
              <w:top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235432E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5.1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/>
                <w:b/>
                <w:sz w:val="24"/>
              </w:rPr>
              <w:t>合适的灭火剂：</w:t>
            </w:r>
          </w:p>
        </w:tc>
        <w:tc>
          <w:tcPr>
            <w:tcW w:w="6262" w:type="dxa"/>
            <w:tcBorders>
              <w:top w:val="single" w:color="auto" w:sz="4" w:space="0"/>
              <w:left w:val="dotted" w:color="auto" w:sz="4" w:space="0"/>
              <w:bottom w:val="dotted" w:color="auto" w:sz="4" w:space="0"/>
            </w:tcBorders>
          </w:tcPr>
          <w:p w14:paraId="035FF30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eastAsia="宋体"/>
                <w:sz w:val="24"/>
                <w:lang w:eastAsia="zh-CN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二氧化碳（CO2），耐醇泡沫，化学干粉，大火时应用水喷洒。</w:t>
            </w:r>
            <w:r>
              <w:rPr>
                <w:sz w:val="24"/>
              </w:rPr>
            </w:r>
            <w:r>
              <w:rPr>
                <w:sz w:val="24"/>
                <w:vertAlign w:val="subscript"/>
              </w:rPr>
            </w:r>
            <w:r>
              <w:rPr>
                <w:rFonts w:hint="eastAsia"/>
                <w:sz w:val="24"/>
              </w:rPr>
            </w:r>
            <w:r>
              <w:rPr>
                <w:rFonts w:hint="eastAsia"/>
                <w:sz w:val="24"/>
                <w:lang w:val="en-US" w:eastAsia="zh-CN"/>
              </w:rPr>
            </w:r>
            <w:r>
              <w:rPr>
                <w:rFonts w:hint="eastAsia"/>
                <w:sz w:val="24"/>
              </w:rPr>
            </w:r>
            <w:r>
              <w:rPr>
                <w:rFonts w:hint="eastAsia"/>
                <w:sz w:val="24"/>
                <w:lang w:val="en-US" w:eastAsia="zh-CN"/>
              </w:rPr>
            </w:r>
            <w:r>
              <w:rPr>
                <w:rFonts w:hint="eastAsia"/>
                <w:sz w:val="24"/>
                <w:lang w:eastAsia="zh-CN"/>
              </w:rPr>
            </w:r>
            <w:r>
              <w:rPr>
                <w:rFonts w:hint="eastAsia"/>
                <w:sz w:val="24"/>
                <w:lang w:val="en-US" w:eastAsia="zh-CN"/>
              </w:rPr>
            </w:r>
          </w:p>
        </w:tc>
      </w:tr>
      <w:tr w14:paraId="54F177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7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E7DF0F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5.2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/>
                <w:b/>
                <w:sz w:val="24"/>
              </w:rPr>
              <w:t>不合适的灭火剂：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6C3C7C3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eastAsia="宋体"/>
                <w:b/>
                <w:sz w:val="24"/>
                <w:lang w:val="en-US" w:eastAsia="zh-CN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</w:rPr>
              <w:t>高流量的水喷射。</w:t>
            </w:r>
            <w:r>
              <w:rPr>
                <w:rFonts w:hint="eastAsia"/>
                <w:sz w:val="24"/>
              </w:rPr>
            </w:r>
          </w:p>
        </w:tc>
      </w:tr>
      <w:tr w14:paraId="0DCB57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2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49E2E1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5.3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/>
                <w:b/>
                <w:sz w:val="24"/>
              </w:rPr>
              <w:t>物质或混合物的特殊危害：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478AA28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eastAsia="宋体"/>
                <w:sz w:val="24"/>
                <w:lang w:eastAsia="zh-CN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燃烧时释放一氧化碳、二氧化碳、氮氧化物和痕量的氰化氢。</w:t>
              <w:br/>
              <w:t>在着火或爆炸情况下，不要吸进烟尘。</w:t>
            </w:r>
            <w:r>
              <w:rPr>
                <w:rFonts w:hint="eastAsia"/>
                <w:sz w:val="24"/>
                <w:lang w:val="en-US" w:eastAsia="zh-CN"/>
              </w:rPr>
            </w:r>
            <w:r>
              <w:rPr>
                <w:rFonts w:hint="eastAsia"/>
                <w:sz w:val="24"/>
                <w:lang w:eastAsia="zh-CN"/>
              </w:rPr>
            </w:r>
          </w:p>
        </w:tc>
      </w:tr>
      <w:tr w14:paraId="04A389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6" w:hRule="atLeast"/>
        </w:trPr>
        <w:tc>
          <w:tcPr>
            <w:tcW w:w="3519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7DD65C9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5.4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/>
                <w:b/>
                <w:sz w:val="24"/>
              </w:rPr>
              <w:t>消防预防措施和保护设备：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</w:tcPr>
          <w:p w14:paraId="36625AE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消防人员必须佩戴自供气式呼吸器。</w:t>
              <w:br/>
              <w:t>禁止污染的灭火用水流入土壤，地下水或地表水中。</w:t>
            </w:r>
          </w:p>
        </w:tc>
      </w:tr>
    </w:tbl>
    <w:p w14:paraId="3ED8EA28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6262"/>
      </w:tblGrid>
      <w:tr w14:paraId="10795A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636D9A70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6.</w:t>
            </w:r>
            <w:r>
              <w:rPr>
                <w:rFonts w:hint="eastAsia" w:hAnsi="Arial"/>
                <w:b/>
                <w:sz w:val="24"/>
              </w:rPr>
              <w:t>意外泄漏措施</w:t>
            </w:r>
          </w:p>
        </w:tc>
      </w:tr>
      <w:tr w14:paraId="42D96E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8" w:hRule="atLeast"/>
        </w:trPr>
        <w:tc>
          <w:tcPr>
            <w:tcW w:w="3519" w:type="dxa"/>
            <w:tcBorders>
              <w:top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186285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6.1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/>
                <w:b/>
                <w:sz w:val="24"/>
              </w:rPr>
              <w:t>个人预防措施、应急程序：</w:t>
            </w:r>
          </w:p>
        </w:tc>
        <w:tc>
          <w:tcPr>
            <w:tcW w:w="6262" w:type="dxa"/>
            <w:tcBorders>
              <w:top w:val="single" w:color="auto" w:sz="4" w:space="0"/>
              <w:left w:val="dotted" w:color="auto" w:sz="4" w:space="0"/>
              <w:bottom w:val="dotted" w:color="auto" w:sz="4" w:space="0"/>
            </w:tcBorders>
          </w:tcPr>
          <w:p w14:paraId="281DDEE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/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戴防护设备。确保充分的通风/排气。</w:t>
              <w:br/>
              <w:t>令未授权人员离开。</w:t>
            </w:r>
            <w:r>
              <w:rPr>
                <w:sz w:val="24"/>
              </w:rPr>
            </w:r>
            <w:r>
              <w:rPr>
                <w:rFonts w:hint="eastAsia"/>
                <w:sz w:val="24"/>
              </w:rPr>
            </w:r>
          </w:p>
        </w:tc>
      </w:tr>
      <w:tr w14:paraId="37459C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0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24D74B8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6.2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 w:cs="Arial"/>
                <w:b/>
                <w:kern w:val="0"/>
                <w:sz w:val="24"/>
              </w:rPr>
              <w:t>环境保护措施：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26E7ACC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</w:rPr>
              <w:t>禁止排入下水道，废水或土壤中。</w:t>
            </w:r>
            <w:r>
              <w:rPr>
                <w:rFonts w:hint="eastAsia"/>
                <w:sz w:val="24"/>
              </w:rPr>
            </w:r>
          </w:p>
        </w:tc>
      </w:tr>
      <w:tr w14:paraId="418D99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2" w:hRule="atLeast"/>
        </w:trPr>
        <w:tc>
          <w:tcPr>
            <w:tcW w:w="3519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76CD2BF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6.3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/>
                <w:b/>
                <w:sz w:val="24"/>
              </w:rPr>
              <w:t>污染物收集和清除的方法：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</w:tcPr>
          <w:p w14:paraId="661ADF5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cs="Arial"/>
                <w:kern w:val="0"/>
                <w:sz w:val="24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</w:rPr>
              <w:t>用化学品吸收材料或必要时用干沙收集，并储存与密闭容器中。</w:t>
            </w:r>
          </w:p>
        </w:tc>
      </w:tr>
    </w:tbl>
    <w:p w14:paraId="06C96FEC">
      <w:pPr>
        <w:spacing w:line="300" w:lineRule="auto"/>
        <w:ind w:right="480"/>
        <w:rPr>
          <w:b/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6262"/>
      </w:tblGrid>
      <w:tr w14:paraId="2BF60C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50BCC04F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7.</w:t>
            </w:r>
            <w:r>
              <w:rPr>
                <w:rFonts w:hint="eastAsia"/>
                <w:b/>
                <w:sz w:val="24"/>
              </w:rPr>
              <w:t>操作和储存</w:t>
            </w:r>
          </w:p>
        </w:tc>
      </w:tr>
      <w:tr w14:paraId="234888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8" w:hRule="atLeast"/>
        </w:trPr>
        <w:tc>
          <w:tcPr>
            <w:tcW w:w="3519" w:type="dxa"/>
            <w:tcBorders>
              <w:top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307A838">
            <w:pPr>
              <w:keepNext w:val="0"/>
              <w:keepLines w:val="0"/>
              <w:pageBreakBefore w:val="0"/>
              <w:widowControl w:val="0"/>
              <w:numPr>
                <w:ilvl w:val="1"/>
                <w:numId w:val="2"/>
              </w:numPr>
              <w:kinsoku/>
              <w:wordWrap/>
              <w:overflowPunct/>
              <w:topLinePunct w:val="0"/>
              <w:bidi w:val="0"/>
              <w:snapToGrid/>
              <w:spacing w:line="300" w:lineRule="auto"/>
              <w:ind w:left="459" w:hanging="459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安全操作防范：</w:t>
            </w:r>
          </w:p>
        </w:tc>
        <w:tc>
          <w:tcPr>
            <w:tcW w:w="6262" w:type="dxa"/>
            <w:tcBorders>
              <w:top w:val="single" w:color="auto" w:sz="4" w:space="0"/>
              <w:left w:val="dotted" w:color="auto" w:sz="4" w:space="0"/>
              <w:bottom w:val="dotted" w:color="auto" w:sz="4" w:space="0"/>
            </w:tcBorders>
          </w:tcPr>
          <w:p w14:paraId="1EF1C3C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hint="default" w:eastAsia="宋体" w:cs="Arial"/>
                <w:kern w:val="0"/>
                <w:sz w:val="24"/>
                <w:lang w:val="en-US" w:eastAsia="zh-CN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  <w:lang w:val="en-US" w:eastAsia="zh-CN"/>
              </w:rPr>
              <w:t>在具有适当排气通风的场所使用。避免与皮肤和眼睛接触。不要呼吸蒸气或喷雾。远离食物，饮料和烟草，休息前及工作结束及时洗手。更换被污染或浸湿的衣物。</w:t>
            </w:r>
            <w:r>
              <w:rPr>
                <w:rFonts w:hint="eastAsia" w:hAnsi="Arial" w:cs="Arial"/>
                <w:kern w:val="0"/>
                <w:sz w:val="24"/>
              </w:rPr>
            </w: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</w:r>
          </w:p>
        </w:tc>
      </w:tr>
      <w:tr w14:paraId="17B212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3519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02E58605">
            <w:pPr>
              <w:keepNext w:val="0"/>
              <w:keepLines w:val="0"/>
              <w:pageBreakBefore w:val="0"/>
              <w:widowControl w:val="0"/>
              <w:numPr>
                <w:ilvl w:val="1"/>
                <w:numId w:val="2"/>
              </w:numPr>
              <w:kinsoku/>
              <w:wordWrap/>
              <w:overflowPunct/>
              <w:topLinePunct w:val="0"/>
              <w:bidi w:val="0"/>
              <w:snapToGrid/>
              <w:spacing w:line="300" w:lineRule="auto"/>
              <w:ind w:left="459" w:hanging="459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安全储存条件：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</w:tcPr>
          <w:p w14:paraId="548EDA89">
            <w:pPr>
              <w:keepNext w:val="0"/>
              <w:keepLines w:val="0"/>
              <w:pageBreakBefore w:val="0"/>
              <w:widowControl w:val="0"/>
              <w:shd w:val="clear" w:color="auto" w:fill="FFFFFF"/>
              <w:kinsoku/>
              <w:wordWrap/>
              <w:overflowPunct/>
              <w:topLinePunct w:val="0"/>
              <w:bidi w:val="0"/>
              <w:snapToGrid/>
              <w:spacing w:line="375" w:lineRule="atLeast"/>
              <w:jc w:val="left"/>
              <w:textAlignment w:val="auto"/>
              <w:rPr>
                <w:rFonts w:cs="Arial"/>
                <w:kern w:val="0"/>
                <w:sz w:val="24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</w:rPr>
              <w:t>容器保持紧闭，存储在凉爽通风处。为保证产品质量，必须遵守我们产品信息表的储存条件。</w:t>
            </w: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</w:r>
            <w:r>
              <w:rPr>
                <w:rFonts w:hint="eastAsia" w:hAnsi="Arial" w:cs="Arial"/>
                <w:kern w:val="0"/>
                <w:sz w:val="24"/>
              </w:rPr>
            </w: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</w:r>
            <w:r>
              <w:rPr>
                <w:rFonts w:hint="eastAsia" w:hAnsi="Arial" w:cs="Arial"/>
                <w:kern w:val="0"/>
                <w:sz w:val="24"/>
              </w:rPr>
            </w:r>
            <w:r>
              <w:rPr>
                <w:rFonts w:cs="Arial"/>
                <w:kern w:val="0"/>
                <w:sz w:val="24"/>
              </w:rPr>
            </w:r>
          </w:p>
        </w:tc>
      </w:tr>
    </w:tbl>
    <w:p w14:paraId="4D117280">
      <w:pPr>
        <w:spacing w:line="300" w:lineRule="auto"/>
        <w:ind w:right="480"/>
        <w:rPr>
          <w:b/>
          <w:sz w:val="24"/>
        </w:rPr>
      </w:pPr>
    </w:p>
    <w:tbl>
      <w:tblPr>
        <w:tblStyle w:val="4"/>
        <w:tblW w:w="9860" w:type="dxa"/>
        <w:tblInd w:w="108" w:type="dxa"/>
        <w:tblBorders>
          <w:top w:val="dotted" w:color="auto" w:sz="4" w:space="0"/>
          <w:left w:val="dotted" w:color="auto" w:sz="4" w:space="0"/>
          <w:bottom w:val="dotted" w:color="auto" w:sz="4" w:space="0"/>
          <w:right w:val="dotted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93"/>
        <w:gridCol w:w="326"/>
        <w:gridCol w:w="1411"/>
        <w:gridCol w:w="2465"/>
        <w:gridCol w:w="2465"/>
      </w:tblGrid>
      <w:tr w14:paraId="2F5BD22B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860" w:type="dxa"/>
            <w:gridSpan w:val="5"/>
            <w:tcBorders>
              <w:bottom w:val="single" w:color="auto" w:sz="4" w:space="0"/>
              <w:tl2br w:val="nil"/>
              <w:tr2bl w:val="nil"/>
            </w:tcBorders>
            <w:shd w:val="clear" w:color="auto" w:fill="D9D9D9"/>
          </w:tcPr>
          <w:p w14:paraId="6D7F0928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8.</w:t>
            </w:r>
            <w:r>
              <w:rPr>
                <w:rFonts w:hint="eastAsia"/>
                <w:b/>
                <w:sz w:val="24"/>
              </w:rPr>
              <w:t>接触控制</w:t>
            </w:r>
            <w:r>
              <w:rPr>
                <w:b/>
                <w:sz w:val="24"/>
              </w:rPr>
              <w:t>/</w:t>
            </w:r>
            <w:r>
              <w:rPr>
                <w:rFonts w:hint="eastAsia"/>
                <w:b/>
                <w:sz w:val="24"/>
              </w:rPr>
              <w:t>个人防护</w:t>
            </w:r>
          </w:p>
        </w:tc>
      </w:tr>
      <w:tr w14:paraId="6092870D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9860" w:type="dxa"/>
            <w:gridSpan w:val="5"/>
            <w:tcBorders>
              <w:top w:val="single" w:color="auto" w:sz="4" w:space="0"/>
              <w:left w:val="single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177FBBF6">
            <w:pPr>
              <w:keepNext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/>
                <w:b/>
                <w:sz w:val="24"/>
                <w:lang w:val="en-US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8.1 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暴露控制：</w:t>
            </w:r>
          </w:p>
        </w:tc>
      </w:tr>
      <w:tr w14:paraId="4766DF4E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19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8CF00F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呼吸系统防护：</w:t>
            </w:r>
          </w:p>
        </w:tc>
        <w:tc>
          <w:tcPr>
            <w:tcW w:w="6341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5622CA8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</w:rPr>
              <w:t>喷涂过程中要求有呼吸防护设备。</w:t>
            </w:r>
          </w:p>
        </w:tc>
      </w:tr>
      <w:tr w14:paraId="761F30E7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19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A40F4D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left="3864" w:leftChars="234" w:hanging="3373" w:hangingChars="140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 xml:space="preserve">手部防护： </w:t>
            </w:r>
            <w:r>
              <w:rPr>
                <w:b/>
                <w:sz w:val="24"/>
              </w:rPr>
              <w:tab/>
            </w:r>
            <w:r>
              <w:rPr>
                <w:rFonts w:hint="eastAsia" w:hAnsi="Arial" w:cs="Arial"/>
                <w:b/>
                <w:kern w:val="0"/>
                <w:sz w:val="24"/>
              </w:rPr>
              <w:t/>
            </w:r>
          </w:p>
        </w:tc>
        <w:tc>
          <w:tcPr>
            <w:tcW w:w="6341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7DA4BEF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left="3855" w:hanging="3840" w:hangingChars="1600"/>
              <w:jc w:val="left"/>
              <w:textAlignment w:val="auto"/>
              <w:rPr>
                <w:rFonts w:hint="default" w:eastAsia="宋体"/>
                <w:b/>
                <w:sz w:val="24"/>
                <w:lang w:val="en-US" w:eastAsia="zh-CN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  <w:lang w:val="en-US" w:eastAsia="zh-CN"/>
              </w:rPr>
              <w:t>建议戴上防护手套。</w:t>
            </w:r>
          </w:p>
        </w:tc>
      </w:tr>
      <w:tr w14:paraId="682FFA3A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19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4B5181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防护手套的合适材料：</w:t>
            </w:r>
          </w:p>
        </w:tc>
        <w:tc>
          <w:tcPr>
            <w:tcW w:w="6341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69A4C0B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cs="Arial"/>
                <w:kern w:val="0"/>
                <w:sz w:val="24"/>
              </w:rPr>
            </w:pPr>
            <w:r>
              <w:rPr>
                <w:rFonts w:cs="Arial" w:eastAsia="宋体"/>
                <w:b w:val="0"/>
                <w:bCs w:val="0"/>
                <w:kern w:val="0"/>
                <w:sz w:val="24"/>
                <w:szCs w:val="24"/>
              </w:rPr>
              <w:t>EN 374-3</w:t>
            </w:r>
          </w:p>
        </w:tc>
      </w:tr>
      <w:tr w14:paraId="1A9CDF34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19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E75161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rFonts w:hint="eastAsia"/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氟化橡胶 –FKM:</w:t>
            </w:r>
          </w:p>
        </w:tc>
        <w:tc>
          <w:tcPr>
            <w:tcW w:w="6341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74310D2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 w:cs="Arial"/>
                <w:kern w:val="0"/>
                <w:sz w:val="24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</w:rPr>
              <w:t>厚度≧0.4mm；穿透时间≧480min.</w:t>
            </w:r>
            <w:r>
              <w:rPr>
                <w:rFonts w:cs="Arial"/>
                <w:kern w:val="0"/>
                <w:sz w:val="24"/>
              </w:rPr>
            </w:r>
            <w:r>
              <w:rPr>
                <w:rFonts w:hint="eastAsia" w:hAnsi="Arial" w:cs="Arial"/>
                <w:kern w:val="0"/>
                <w:sz w:val="24"/>
              </w:rPr>
            </w:r>
            <w:r>
              <w:rPr>
                <w:rFonts w:cs="Arial"/>
                <w:kern w:val="0"/>
                <w:sz w:val="24"/>
              </w:rPr>
            </w:r>
          </w:p>
        </w:tc>
      </w:tr>
      <w:tr w14:paraId="2455ED99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19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D99975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rFonts w:hint="eastAsia"/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丁基橡胶 –IIR：</w:t>
            </w:r>
          </w:p>
        </w:tc>
        <w:tc>
          <w:tcPr>
            <w:tcW w:w="6341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6319BFC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 w:cs="Arial"/>
                <w:kern w:val="0"/>
                <w:sz w:val="24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</w:rPr>
              <w:t>厚度≧0.5mm；穿透时间≧480min.</w:t>
            </w:r>
            <w:r>
              <w:rPr>
                <w:rFonts w:cs="Arial"/>
                <w:kern w:val="0"/>
                <w:sz w:val="24"/>
              </w:rPr>
            </w:r>
            <w:r>
              <w:rPr>
                <w:rFonts w:hint="eastAsia" w:hAnsi="Arial" w:cs="Arial"/>
                <w:kern w:val="0"/>
                <w:sz w:val="24"/>
              </w:rPr>
            </w:r>
            <w:r>
              <w:rPr>
                <w:rFonts w:cs="Arial"/>
                <w:kern w:val="0"/>
                <w:sz w:val="24"/>
              </w:rPr>
            </w:r>
          </w:p>
        </w:tc>
      </w:tr>
      <w:tr w14:paraId="07619C0B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3" w:hRule="atLeast"/>
        </w:trPr>
        <w:tc>
          <w:tcPr>
            <w:tcW w:w="3519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B72AA6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rFonts w:hint="eastAsia"/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丁腈橡胶 – NBR：</w:t>
            </w:r>
          </w:p>
        </w:tc>
        <w:tc>
          <w:tcPr>
            <w:tcW w:w="6341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6284A46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 w:cs="Arial"/>
                <w:kern w:val="0"/>
                <w:sz w:val="24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</w:rPr>
              <w:t>厚度≧0.35mm；穿透时间≧480min.</w:t>
            </w:r>
            <w:r>
              <w:rPr>
                <w:rFonts w:cs="Arial"/>
                <w:kern w:val="0"/>
                <w:sz w:val="24"/>
              </w:rPr>
            </w:r>
            <w:r>
              <w:rPr>
                <w:rFonts w:hint="eastAsia" w:hAnsi="Arial" w:cs="Arial"/>
                <w:kern w:val="0"/>
                <w:sz w:val="24"/>
              </w:rPr>
            </w:r>
            <w:r>
              <w:rPr>
                <w:rFonts w:cs="Arial"/>
                <w:kern w:val="0"/>
                <w:sz w:val="24"/>
              </w:rPr>
            </w:r>
          </w:p>
        </w:tc>
      </w:tr>
      <w:tr w14:paraId="65730FF3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19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DDD999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建议：</w:t>
            </w:r>
          </w:p>
        </w:tc>
        <w:tc>
          <w:tcPr>
            <w:tcW w:w="6341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33D18C4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b/>
                <w:sz w:val="24"/>
              </w:rPr>
            </w:pPr>
            <w:r>
              <w:rPr>
                <w:rFonts w:eastAsia="宋体"/>
                <w:b w:val="0"/>
                <w:bCs w:val="0"/>
                <w:sz w:val="24"/>
                <w:szCs w:val="24"/>
              </w:rPr>
              <w:t>污染的手套应废弃。</w:t>
            </w:r>
          </w:p>
        </w:tc>
      </w:tr>
      <w:tr w14:paraId="59C24E25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19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0F9316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眼睛防护：</w:t>
            </w:r>
          </w:p>
        </w:tc>
        <w:tc>
          <w:tcPr>
            <w:tcW w:w="6341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4F45D9C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 w:cs="Arial"/>
                <w:kern w:val="0"/>
                <w:sz w:val="24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</w:rPr>
              <w:t>戴护目镜/面罩。</w:t>
            </w: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</w:r>
            <w:r>
              <w:rPr>
                <w:rFonts w:hint="eastAsia" w:hAnsi="Arial" w:cs="Arial"/>
                <w:kern w:val="0"/>
                <w:sz w:val="24"/>
              </w:rPr>
            </w:r>
          </w:p>
        </w:tc>
      </w:tr>
      <w:tr w14:paraId="26E3284D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19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2BA0735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身体防护：</w:t>
            </w:r>
          </w:p>
        </w:tc>
        <w:tc>
          <w:tcPr>
            <w:tcW w:w="6341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156E516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 w:cs="Arial"/>
                <w:kern w:val="0"/>
                <w:sz w:val="24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</w:rPr>
              <w:t>穿着适当的防护服。</w:t>
            </w:r>
          </w:p>
        </w:tc>
      </w:tr>
    </w:tbl>
    <w:p w14:paraId="2FDFF4E3">
      <w:pPr>
        <w:spacing w:line="300" w:lineRule="auto"/>
        <w:ind w:right="480"/>
        <w:rPr>
          <w:b/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04"/>
        <w:gridCol w:w="6277"/>
      </w:tblGrid>
      <w:tr w14:paraId="49FE3C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18A46F13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9. </w:t>
            </w:r>
            <w:r>
              <w:rPr>
                <w:rFonts w:hint="eastAsia"/>
                <w:b/>
                <w:sz w:val="24"/>
              </w:rPr>
              <w:t>物理和化学特性</w:t>
            </w:r>
          </w:p>
        </w:tc>
      </w:tr>
      <w:tr w14:paraId="76B1C7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6" w:hRule="atLeast"/>
        </w:trPr>
        <w:tc>
          <w:tcPr>
            <w:tcW w:w="3504" w:type="dxa"/>
            <w:tcBorders>
              <w:top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4EC0A30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>9.1</w:t>
              <w:tab/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外观：</w:t>
            </w:r>
          </w:p>
        </w:tc>
        <w:tc>
          <w:tcPr>
            <w:tcW w:w="6277" w:type="dxa"/>
            <w:tcBorders>
              <w:top w:val="single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2ACFE80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color w:val="000000"/>
                <w:sz w:val="24"/>
                <w:szCs w:val="24"/>
              </w:rPr>
              <w:t>泛蓝光半透明乳液</w:t>
            </w:r>
          </w:p>
        </w:tc>
      </w:tr>
      <w:tr w14:paraId="706DF9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41B2ED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>9.2</w:t>
              <w:tab/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嗅觉阈值：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77A78FB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无数据资料。</w:t>
            </w:r>
          </w:p>
        </w:tc>
      </w:tr>
      <w:tr w14:paraId="03A714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168D17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>9.3</w:t>
              <w:tab/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pH值（1%水溶液）：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1192929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7-9</w:t>
            </w:r>
          </w:p>
        </w:tc>
      </w:tr>
      <w:tr w14:paraId="1B7A2F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453EF5E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>9.4</w:t>
              <w:tab/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离子性：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21B72DB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ascii="宋体" w:hAnsi="宋体" w:cs="宋体" w:eastAsia="宋体"/>
                <w:b w:val="0"/>
                <w:bCs w:val="0"/>
                <w:color w:val="000000"/>
                <w:sz w:val="24"/>
                <w:szCs w:val="24"/>
              </w:rPr>
              <w:t>阴离子</w:t>
            </w:r>
          </w:p>
        </w:tc>
      </w:tr>
      <w:tr w14:paraId="1F71C6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3B2AF6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>9.5</w:t>
              <w:tab/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初沸点：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0615D6A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约100℃</w:t>
            </w:r>
          </w:p>
        </w:tc>
      </w:tr>
      <w:tr w14:paraId="59BCB1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1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3225A1D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>9.6</w:t>
              <w:tab/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闪点：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46C9634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不适用</w:t>
            </w:r>
          </w:p>
        </w:tc>
      </w:tr>
      <w:tr w14:paraId="5B44C8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4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6395E2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>9.7</w:t>
              <w:tab/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蒸发速率：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1CE9B4F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无数据资料。</w:t>
            </w:r>
          </w:p>
        </w:tc>
      </w:tr>
      <w:tr w14:paraId="12F9E2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B8FDB5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>9.8</w:t>
              <w:tab/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可燃性（固态、气态）：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4820B80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不适用</w:t>
            </w:r>
          </w:p>
        </w:tc>
      </w:tr>
      <w:tr w14:paraId="732C68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F22DD7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>9.9</w:t>
              <w:tab/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燃烧值：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09B9A6D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color w:val="FF0000"/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不适用</w:t>
            </w:r>
          </w:p>
        </w:tc>
      </w:tr>
      <w:tr w14:paraId="1E5400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88290F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>9.10</w:t>
              <w:tab/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饱和蒸气压：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28B70E5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约130hPa在50℃</w:t>
            </w:r>
          </w:p>
        </w:tc>
      </w:tr>
      <w:tr w14:paraId="3DB888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850AE9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>9.11</w:t>
              <w:tab/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相对蒸气密度：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7BD96BB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无数据资料。</w:t>
            </w:r>
          </w:p>
        </w:tc>
      </w:tr>
      <w:tr w14:paraId="4F0AF3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3CA090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>9.12</w:t>
              <w:tab/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密度：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6DE9D23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  <w:vertAlign w:val="superscript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1.0-1.1g/cm3</w:t>
            </w:r>
          </w:p>
        </w:tc>
      </w:tr>
      <w:tr w14:paraId="2F7083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3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42D0F8E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>9.13</w:t>
              <w:tab/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水溶性：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22E96A3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完全混溶</w:t>
            </w:r>
          </w:p>
        </w:tc>
      </w:tr>
      <w:tr w14:paraId="644516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2AE2D5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>9.14</w:t>
              <w:tab/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表面张力：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14F52EC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无数据资料。</w:t>
            </w:r>
          </w:p>
        </w:tc>
      </w:tr>
      <w:tr w14:paraId="745148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082A74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>9.15</w:t>
              <w:tab/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辛醇/水分配系数对数值：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0056B9A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  <w:vertAlign w:val="subscript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无数据资料。</w:t>
            </w:r>
          </w:p>
        </w:tc>
      </w:tr>
      <w:tr w14:paraId="5085B9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2" w:hRule="atLeast"/>
        </w:trPr>
        <w:tc>
          <w:tcPr>
            <w:tcW w:w="3504" w:type="dxa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AFB09CC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>9.16</w:t>
              <w:tab/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自燃温度：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634CC6B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不适用</w:t>
            </w:r>
          </w:p>
        </w:tc>
      </w:tr>
      <w:tr w14:paraId="2F548A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A96A3BC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>9.17</w:t>
              <w:tab/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引燃温度：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07D88D4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rFonts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无数据资料。</w:t>
            </w:r>
          </w:p>
        </w:tc>
      </w:tr>
      <w:tr w14:paraId="75A985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D5CA8D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>9.18</w:t>
              <w:tab/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分解温度：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025D078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无数据资料。</w:t>
            </w:r>
          </w:p>
        </w:tc>
      </w:tr>
      <w:tr w14:paraId="10B41D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7F5832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>9.19</w:t>
              <w:tab/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动力粘度：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32B81A5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 w:firstLine="0" w:firstLineChars="0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＜250mPa.s</w:t>
            </w:r>
          </w:p>
        </w:tc>
      </w:tr>
      <w:tr w14:paraId="19AEBE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0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7CF3C5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>9.20</w:t>
              <w:tab/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爆炸特性：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34BB478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 w:firstLine="0" w:firstLineChars="0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无数据资料。</w:t>
            </w:r>
          </w:p>
        </w:tc>
      </w:tr>
      <w:tr w14:paraId="45688A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0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2D27CAA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>9.21</w:t>
              <w:tab/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粉尘爆炸级别：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6AF3D94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 w:firstLine="0" w:firstLineChars="0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不适用</w:t>
            </w:r>
          </w:p>
        </w:tc>
      </w:tr>
      <w:tr w14:paraId="2A2B31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0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458867D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>9.22</w:t>
              <w:tab/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固体含量（150℃，30min）：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5664D79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 w:firstLine="0" w:firstLineChars="0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28±2%</w:t>
            </w:r>
          </w:p>
        </w:tc>
      </w:tr>
      <w:tr w14:paraId="173994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0" w:hRule="atLeast"/>
        </w:trPr>
        <w:tc>
          <w:tcPr>
            <w:tcW w:w="3504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37C6F47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>9.23</w:t>
              <w:tab/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其他信息：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  <w:vAlign w:val="top"/>
          </w:tcPr>
          <w:p w14:paraId="73D99FF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 w:firstLine="0" w:firstLineChars="0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上述数据非产品指标，产品指标请参见产品技术信息表。</w:t>
            </w:r>
          </w:p>
        </w:tc>
      </w:tr>
    </w:tbl>
    <w:p w14:paraId="7A162BBF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04"/>
        <w:gridCol w:w="6277"/>
      </w:tblGrid>
      <w:tr w14:paraId="207A93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  <w:vAlign w:val="top"/>
          </w:tcPr>
          <w:p w14:paraId="564C64BB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10.</w:t>
            </w:r>
            <w:r>
              <w:rPr>
                <w:rFonts w:hint="eastAsia" w:hAnsi="Arial"/>
                <w:b/>
                <w:sz w:val="24"/>
              </w:rPr>
              <w:t>稳定性和反应性</w:t>
            </w:r>
          </w:p>
        </w:tc>
      </w:tr>
      <w:tr w14:paraId="0BB27E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3504" w:type="dxa"/>
            <w:tcBorders>
              <w:top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EA8933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10.1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化学稳定性：</w:t>
            </w:r>
          </w:p>
        </w:tc>
        <w:tc>
          <w:tcPr>
            <w:tcW w:w="6277" w:type="dxa"/>
            <w:tcBorders>
              <w:top w:val="single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786BDC1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-25" w:leftChars="-12" w:right="480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</w:rPr>
              <w:t>根据规范使用，不会发生分解。</w:t>
            </w:r>
          </w:p>
        </w:tc>
      </w:tr>
      <w:tr w14:paraId="46C975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2F444C7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10.2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危险分解产物：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065D49D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eastAsia="宋体"/>
                <w:sz w:val="24"/>
                <w:lang w:eastAsia="zh-CN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</w:rPr>
              <w:t>涂料在干燥/固化时，释放出中和剂。</w:t>
            </w:r>
          </w:p>
        </w:tc>
      </w:tr>
      <w:tr w14:paraId="50E98E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3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FDABBA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10.3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可能的危害反应：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604AF07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</w:rPr>
              <w:t>正确储存或操作时，无危害反应。</w:t>
            </w:r>
          </w:p>
        </w:tc>
      </w:tr>
    </w:tbl>
    <w:p w14:paraId="27E10F6C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1311"/>
        <w:gridCol w:w="635"/>
        <w:gridCol w:w="4316"/>
      </w:tblGrid>
      <w:tr w14:paraId="441765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4"/>
            <w:tcBorders>
              <w:bottom w:val="single" w:color="auto" w:sz="4" w:space="0"/>
              <w:tl2br w:val="nil"/>
              <w:tr2bl w:val="nil"/>
            </w:tcBorders>
            <w:shd w:val="clear" w:color="auto" w:fill="D9D9D9"/>
          </w:tcPr>
          <w:p w14:paraId="1CE92C46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11.</w:t>
            </w:r>
            <w:r>
              <w:rPr>
                <w:rFonts w:hint="eastAsia" w:hAnsi="Arial"/>
                <w:b/>
                <w:sz w:val="24"/>
              </w:rPr>
              <w:t>毒性资料</w:t>
            </w:r>
          </w:p>
        </w:tc>
      </w:tr>
      <w:tr w14:paraId="08151B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9781" w:type="dxa"/>
            <w:gridSpan w:val="4"/>
            <w:tcBorders>
              <w:top w:val="single" w:color="auto" w:sz="4" w:space="0"/>
              <w:bottom w:val="dotted" w:color="auto" w:sz="4" w:space="0"/>
            </w:tcBorders>
          </w:tcPr>
          <w:p w14:paraId="7851511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/>
                <w:sz w:val="24"/>
              </w:rPr>
              <w:t>该产品无可用的毒理学研究。</w:t>
            </w:r>
          </w:p>
        </w:tc>
      </w:tr>
      <w:tr w14:paraId="0D17F5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9781" w:type="dxa"/>
            <w:gridSpan w:val="4"/>
            <w:tcBorders>
              <w:top w:val="dotted" w:color="auto" w:sz="4" w:space="0"/>
              <w:bottom w:val="dotted" w:color="auto" w:sz="4" w:space="0"/>
            </w:tcBorders>
            <w:gridSpan w:val="4"/>
            <w:tcW w:w="9781" w:type="dxa"/>
          </w:tcPr>
          <w:p>
            <w:pPr>
              <w:spacing w:line="300" w:lineRule="auto"/>
              <w:ind w:left="34" w:leftChars="16" w:right="480"/>
              <w:jc w:val="left"/>
              <w:rPr>
                <w:sz w:val="24"/>
              </w:rPr>
            </w:pPr>
            <w:r>
              <w:rPr>
                <w:rFonts w:ascii="宋体" w:hAnsi="宋体" w:eastAsia="宋体" w:cs="宋体"/>
                <w:b w:val="0"/>
                <w:sz w:val="24"/>
                <w:szCs w:val="24"/>
              </w:rPr>
              <w:t xml:space="preserve">以下是N－甲基吡咯烷酮毒理学数据：</w:t>
            </w:r>
          </w:p>
        </w:tc>
      </w:tr>
      <w:tr w14:paraId="08568C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3519" w:type="dxa"/>
            <w:vMerge w:val="restart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B72C767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11.1</w:t>
            </w: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</w:rPr>
              <w:t>急性毒性：</w:t>
            </w:r>
          </w:p>
        </w:tc>
        <w:tc>
          <w:tcPr>
            <w:tcW w:w="1311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3CFEB9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2"/>
              <w:jc w:val="left"/>
              <w:textAlignment w:val="auto"/>
              <w:rPr>
                <w:rFonts w:hint="default" w:ascii="宋体" w:hAnsi="宋体" w:eastAsia="宋体" w:cs="宋体"/>
                <w:b/>
                <w:bCs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b/>
                <w:bCs/>
                <w:sz w:val="24"/>
                <w:lang w:val="en-US" w:eastAsia="zh-CN"/>
              </w:rPr>
              <w:t>经口：</w:t>
            </w:r>
          </w:p>
        </w:tc>
        <w:tc>
          <w:tcPr>
            <w:tcW w:w="4951" w:type="dxa"/>
            <w:gridSpan w:val="2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6EC890C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2"/>
              <w:jc w:val="left"/>
              <w:textAlignment w:val="auto"/>
              <w:rPr>
                <w:rFonts w:hint="eastAsia"/>
                <w:sz w:val="24"/>
                <w:lang w:val="en-US" w:eastAsia="zh-CN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  <w:lang w:val="en-US" w:eastAsia="zh-CN"/>
              </w:rPr>
              <w:t>半数致死剂量（LD50）/大鼠：4,150mg/kg</w:t>
            </w:r>
          </w:p>
        </w:tc>
      </w:tr>
      <w:tr w14:paraId="7C33C7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3519" w:type="dxa"/>
            <w:vMerge w:val="continue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BB29EF3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311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39D3D3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2"/>
              <w:jc w:val="left"/>
              <w:textAlignment w:val="auto"/>
              <w:rPr>
                <w:rFonts w:hint="eastAsia"/>
                <w:b/>
                <w:bCs/>
                <w:sz w:val="24"/>
                <w:lang w:val="en-US" w:eastAsia="zh-CN"/>
              </w:rPr>
            </w:pPr>
            <w:r>
              <w:rPr>
                <w:rFonts w:hint="eastAsia"/>
                <w:b/>
                <w:bCs/>
                <w:sz w:val="24"/>
                <w:lang w:val="en-US" w:eastAsia="zh-CN"/>
              </w:rPr>
              <w:t>吸入：</w:t>
            </w:r>
          </w:p>
        </w:tc>
        <w:tc>
          <w:tcPr>
            <w:tcW w:w="4951" w:type="dxa"/>
            <w:gridSpan w:val="2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79B94EE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2"/>
              <w:jc w:val="left"/>
              <w:textAlignment w:val="auto"/>
              <w:rPr>
                <w:rFonts w:hint="eastAsia"/>
                <w:sz w:val="24"/>
                <w:lang w:val="en-US" w:eastAsia="zh-CN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  <w:lang w:val="en-US" w:eastAsia="zh-CN"/>
              </w:rPr>
              <w:t>半数致死浓度（LC50）/1h/大鼠：＞5.1mg/l</w:t>
              <w:br/>
              <w:t>半数致死浓度（LC50）/4h/大鼠：＞5.1mg/l</w:t>
            </w:r>
          </w:p>
        </w:tc>
      </w:tr>
      <w:tr w14:paraId="50E3B3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4" w:hRule="atLeast"/>
        </w:trPr>
        <w:tc>
          <w:tcPr>
            <w:tcW w:w="3519" w:type="dxa"/>
            <w:vMerge w:val="continue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4F24CBA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311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BB8478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2"/>
              <w:jc w:val="left"/>
              <w:textAlignment w:val="auto"/>
              <w:rPr>
                <w:rFonts w:hint="eastAsia"/>
                <w:b/>
                <w:bCs/>
                <w:sz w:val="24"/>
                <w:lang w:val="en-US" w:eastAsia="zh-CN"/>
              </w:rPr>
            </w:pPr>
            <w:r>
              <w:rPr>
                <w:rFonts w:hint="eastAsia"/>
                <w:b/>
                <w:bCs/>
                <w:sz w:val="24"/>
                <w:lang w:val="en-US" w:eastAsia="zh-CN"/>
              </w:rPr>
              <w:t>经皮：</w:t>
            </w:r>
          </w:p>
        </w:tc>
        <w:tc>
          <w:tcPr>
            <w:tcW w:w="4951" w:type="dxa"/>
            <w:gridSpan w:val="2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146B658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2"/>
              <w:jc w:val="left"/>
              <w:textAlignment w:val="auto"/>
              <w:rPr>
                <w:rFonts w:hint="eastAsia"/>
                <w:sz w:val="24"/>
                <w:lang w:val="en-US" w:eastAsia="zh-CN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  <w:lang w:val="en-US" w:eastAsia="zh-CN"/>
              </w:rPr>
              <w:t>半数致死剂量（LD50）/大鼠：＞5,000mg/kg</w:t>
            </w:r>
          </w:p>
        </w:tc>
      </w:tr>
      <w:tr w14:paraId="273469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C3C70E5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 w:val="1"/>
                <w:bCs w:val="1"/>
                <w:kern w:val="2"/>
                <w:sz w:val="21"/>
                <w:szCs w:val="21"/>
                <w:lang w:val="en-US" w:eastAsia="zh-CN" w:bidi="ar-SA"/>
              </w:rPr>
              <w:t>11.2</w:t>
            </w:r>
            <w:r>
              <w:rPr>
                <w:rFonts w:hint="eastAsia" w:ascii="Times New Roman" w:hAnsi="Times New Roman" w:eastAsia="宋体" w:cs="Times New Roman"/>
                <w:b w:val="1"/>
                <w:bCs w:val="1"/>
                <w:kern w:val="2"/>
                <w:sz w:val="24"/>
                <w:szCs w:val="24"/>
                <w:lang w:val="en-US" w:eastAsia="zh-CN" w:bidi="ar-SA"/>
              </w:rPr>
              <w:t xml:space="preserve"> </w:t>
            </w:r>
            <w:r>
              <w:rPr>
                <w:rFonts w:hint="eastAsia" w:cs="Times New Roman" w:eastAsia="宋体"/>
                <w:b w:val="1"/>
                <w:bCs w:val="1"/>
                <w:kern w:val="2"/>
                <w:sz w:val="24"/>
                <w:szCs w:val="24"/>
                <w:lang w:val="en-US" w:eastAsia="zh-CN" w:bidi="ar-SA"/>
              </w:rPr>
              <w:t xml:space="preserve"> </w:t>
            </w:r>
            <w:r>
              <w:rPr>
                <w:rFonts w:hint="eastAsia" w:hAnsi="Arial" w:eastAsia="宋体"/>
                <w:b w:val="1"/>
                <w:bCs w:val="1"/>
                <w:sz w:val="24"/>
                <w:szCs w:val="24"/>
              </w:rPr>
              <w:t>主要皮肤刺激性:</w:t>
            </w: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物种：兔子</w:t>
            </w:r>
          </w:p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分类：刺激皮肤</w:t>
            </w:r>
          </w:p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结果：造成皮肤刺激</w:t>
            </w:r>
          </w:p>
        </w:tc>
      </w:tr>
      <w:tr w14:paraId="577A43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A5D2D0D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 w:val="1"/>
                <w:bCs w:val="1"/>
                <w:kern w:val="2"/>
                <w:sz w:val="21"/>
                <w:szCs w:val="21"/>
                <w:lang w:val="en-US" w:eastAsia="zh-CN" w:bidi="ar-SA"/>
              </w:rPr>
              <w:t>11.3</w:t>
            </w:r>
            <w:r>
              <w:rPr>
                <w:rFonts w:hint="eastAsia" w:cs="Times New Roman" w:eastAsia="宋体"/>
                <w:b w:val="1"/>
                <w:bCs w:val="1"/>
                <w:kern w:val="2"/>
                <w:sz w:val="24"/>
                <w:szCs w:val="24"/>
                <w:lang w:val="en-US" w:eastAsia="zh-CN" w:bidi="ar-SA"/>
              </w:rPr>
              <w:t xml:space="preserve">  </w:t>
            </w:r>
            <w:r>
              <w:rPr>
                <w:rFonts w:hint="eastAsia" w:hAnsi="Arial" w:eastAsia="宋体"/>
                <w:b w:val="1"/>
                <w:bCs w:val="1"/>
                <w:sz w:val="24"/>
                <w:szCs w:val="24"/>
              </w:rPr>
              <w:t>主要</w:t>
            </w:r>
            <w:r>
              <w:rPr>
                <w:rFonts w:hint="eastAsia" w:hAnsi="Arial" w:eastAsia="宋体"/>
                <w:b w:val="1"/>
                <w:bCs w:val="1"/>
                <w:sz w:val="24"/>
                <w:szCs w:val="24"/>
                <w:lang w:val="en-US" w:eastAsia="zh-CN"/>
              </w:rPr>
              <w:t>粘膜</w:t>
            </w:r>
            <w:r>
              <w:rPr>
                <w:rFonts w:hint="eastAsia" w:hAnsi="Arial" w:eastAsia="宋体"/>
                <w:b w:val="1"/>
                <w:bCs w:val="1"/>
                <w:sz w:val="24"/>
                <w:szCs w:val="24"/>
              </w:rPr>
              <w:t>刺激性：</w:t>
            </w: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物种：兔子</w:t>
            </w:r>
          </w:p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分类：刺激眼睛</w:t>
            </w:r>
          </w:p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结果：严重的眼睛刺激</w:t>
            </w:r>
          </w:p>
        </w:tc>
      </w:tr>
      <w:tr w14:paraId="6EF8BC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CA5A114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 w:val="1"/>
                <w:bCs w:val="1"/>
                <w:kern w:val="2"/>
                <w:sz w:val="21"/>
                <w:szCs w:val="21"/>
                <w:lang w:val="en-US" w:eastAsia="zh-CN" w:bidi="ar-SA"/>
              </w:rPr>
              <w:t>11.4</w:t>
            </w:r>
            <w:r>
              <w:rPr>
                <w:rFonts w:hint="eastAsia" w:cs="Times New Roman" w:eastAsia="宋体"/>
                <w:b w:val="1"/>
                <w:bCs w:val="1"/>
                <w:kern w:val="2"/>
                <w:sz w:val="24"/>
                <w:szCs w:val="24"/>
                <w:lang w:val="en-US" w:eastAsia="zh-CN" w:bidi="ar-SA"/>
              </w:rPr>
              <w:t xml:space="preserve">  </w:t>
            </w:r>
            <w:r>
              <w:rPr>
                <w:rFonts w:hint="eastAsia" w:hAnsi="Arial" w:eastAsia="宋体"/>
                <w:b w:val="1"/>
                <w:bCs w:val="1"/>
                <w:sz w:val="24"/>
                <w:szCs w:val="24"/>
              </w:rPr>
              <w:t>致敏性：</w:t>
            </w: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物种：小鼠</w:t>
            </w:r>
          </w:p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分类：不是皮肤过敏物质</w:t>
            </w:r>
          </w:p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结果：未引起实验室动物过敏</w:t>
            </w:r>
          </w:p>
        </w:tc>
      </w:tr>
      <w:tr w14:paraId="523E70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27B49E7B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 w:val="1"/>
                <w:bCs w:val="1"/>
                <w:kern w:val="2"/>
                <w:sz w:val="21"/>
                <w:szCs w:val="21"/>
                <w:lang w:val="en-US" w:eastAsia="zh-CN" w:bidi="ar-SA"/>
              </w:rPr>
              <w:t>11.5</w:t>
            </w:r>
            <w:r>
              <w:rPr>
                <w:rFonts w:hint="eastAsia" w:cs="Times New Roman" w:eastAsia="宋体"/>
                <w:b w:val="1"/>
                <w:bCs w:val="1"/>
                <w:kern w:val="2"/>
                <w:sz w:val="24"/>
                <w:szCs w:val="24"/>
                <w:lang w:val="en-US" w:eastAsia="zh-CN" w:bidi="ar-SA"/>
              </w:rPr>
              <w:t xml:space="preserve">  </w:t>
            </w:r>
            <w:r>
              <w:rPr>
                <w:rFonts w:hint="eastAsia" w:hAnsi="Arial" w:eastAsia="宋体"/>
                <w:b w:val="1"/>
                <w:bCs w:val="1"/>
                <w:sz w:val="24"/>
                <w:szCs w:val="24"/>
              </w:rPr>
              <w:t>致突变性：</w:t>
            </w: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7541511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0" w:leftChars="0" w:right="0"/>
              <w:jc w:val="left"/>
              <w:textAlignment w:val="auto"/>
              <w:rPr>
                <w:rFonts w:hint="default" w:hAnsi="Arial"/>
                <w:sz w:val="24"/>
                <w:lang w:val="en-US" w:eastAsia="zh-CN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>对细菌或哺乳动物细胞培养未见致突变影响。 动物试验中未见致突变性影响。</w:t>
            </w:r>
          </w:p>
        </w:tc>
      </w:tr>
      <w:tr w14:paraId="1F234C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3115F23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rFonts w:hint="eastAsia" w:hAnsi="Arial"/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 w:val="1"/>
                <w:bCs w:val="1"/>
                <w:kern w:val="2"/>
                <w:sz w:val="21"/>
                <w:szCs w:val="21"/>
                <w:lang w:val="en-US" w:eastAsia="zh-CN" w:bidi="ar-SA"/>
              </w:rPr>
              <w:t>11.6</w:t>
            </w:r>
            <w:r>
              <w:rPr>
                <w:rFonts w:hint="eastAsia" w:cs="Times New Roman" w:eastAsia="宋体"/>
                <w:b w:val="1"/>
                <w:bCs w:val="1"/>
                <w:kern w:val="2"/>
                <w:sz w:val="24"/>
                <w:szCs w:val="24"/>
                <w:lang w:val="en-US" w:eastAsia="zh-CN" w:bidi="ar-SA"/>
              </w:rPr>
              <w:t xml:space="preserve">  </w:t>
            </w:r>
            <w:r>
              <w:rPr>
                <w:rFonts w:hint="eastAsia" w:hAnsi="Arial" w:eastAsia="宋体"/>
                <w:b w:val="1"/>
                <w:bCs w:val="1"/>
                <w:sz w:val="24"/>
                <w:szCs w:val="24"/>
                <w:lang w:val="en-US" w:eastAsia="zh-CN"/>
              </w:rPr>
              <w:t>致癌性：</w:t>
            </w: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093BEC9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0"/>
              <w:jc w:val="left"/>
              <w:textAlignment w:val="auto"/>
              <w:rPr>
                <w:rFonts w:hint="default" w:hAnsi="Arial"/>
                <w:sz w:val="24"/>
                <w:lang w:val="en-US" w:eastAsia="zh-CN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  <w:lang w:val="en-US" w:eastAsia="zh-CN"/>
              </w:rPr>
              <w:t>在动物试验中未见致癌影响。</w:t>
            </w:r>
          </w:p>
        </w:tc>
      </w:tr>
      <w:tr w14:paraId="6407FC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3519" w:type="dxa"/>
            <w:vMerge w:val="restart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9F8E950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/>
                <w:b/>
                <w:sz w:val="24"/>
              </w:rPr>
              <w:ind w:left="420" w:leftChars="0" w:hanging="420" w:firstLineChars="0"/>
            </w:pPr>
            <w:r>
              <w:rPr>
                <w:rFonts w:hint="default" w:ascii="Times New Roman" w:hAnsi="Times New Roman" w:eastAsia="宋体" w:cs="Times New Roman"/>
                <w:b w:val="1"/>
                <w:bCs w:val="1"/>
                <w:kern w:val="2"/>
                <w:sz w:val="21"/>
                <w:szCs w:val="21"/>
                <w:lang w:val="en-US" w:eastAsia="zh-CN" w:bidi="ar-SA"/>
              </w:rPr>
              <w:t>11.7</w:t>
            </w:r>
            <w:r>
              <w:rPr>
                <w:rFonts w:hint="eastAsia" w:cs="Times New Roman" w:eastAsia="宋体"/>
                <w:b w:val="1"/>
                <w:bCs w:val="1"/>
                <w:kern w:val="2"/>
                <w:sz w:val="24"/>
                <w:szCs w:val="24"/>
                <w:lang w:val="en-US" w:eastAsia="zh-CN" w:bidi="ar-SA"/>
              </w:rPr>
              <w:t xml:space="preserve">  </w:t>
            </w:r>
            <w:r>
              <w:rPr>
                <w:rFonts w:hint="eastAsia" w:hAnsi="Arial" w:eastAsia="宋体"/>
                <w:b w:val="1"/>
                <w:bCs w:val="1"/>
                <w:sz w:val="24"/>
                <w:szCs w:val="24"/>
                <w:lang w:val="en-US" w:eastAsia="zh-CN"/>
              </w:rPr>
              <w:t>生殖毒性：</w:t>
            </w:r>
          </w:p>
        </w:tc>
        <w:tc>
          <w:tcPr>
            <w:tcW w:w="1946" w:type="dxa"/>
            <w:gridSpan w:val="2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863229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960" w:hanging="964" w:hangingChars="400"/>
              <w:jc w:val="left"/>
              <w:textAlignment w:val="auto"/>
              <w:rPr>
                <w:rFonts w:hint="default" w:hAnsi="Arial"/>
                <w:b/>
                <w:bCs/>
                <w:sz w:val="24"/>
                <w:lang w:val="en-US" w:eastAsia="zh-CN"/>
              </w:rPr>
            </w:pPr>
            <w:r>
              <w:rPr>
                <w:rFonts w:hint="eastAsia" w:ascii="宋体" w:hAnsi="宋体" w:cs="宋体" w:eastAsia="宋体"/>
                <w:b w:val="1"/>
                <w:bCs w:val="1"/>
                <w:sz w:val="24"/>
                <w:szCs w:val="24"/>
              </w:rPr>
              <w:t>生育力：</w:t>
            </w:r>
          </w:p>
        </w:tc>
        <w:tc>
          <w:tcPr>
            <w:tcW w:w="431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696E91D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0"/>
              <w:jc w:val="left"/>
              <w:textAlignment w:val="auto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eastAsia="宋体"/>
                <w:b w:val="0"/>
                <w:bCs w:val="0"/>
                <w:sz w:val="24"/>
                <w:szCs w:val="24"/>
              </w:rPr>
              <w:t>在动物试验中，发现仅在射入高剂量的此物质后才有损坏生育的风险。</w:t>
            </w:r>
          </w:p>
        </w:tc>
      </w:tr>
      <w:tr w14:paraId="711777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3519" w:type="dxa"/>
            <w:vMerge w:val="continue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237CBC02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946" w:type="dxa"/>
            <w:gridSpan w:val="2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105980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960" w:hanging="964" w:hangingChars="400"/>
              <w:jc w:val="left"/>
              <w:textAlignment w:val="auto"/>
              <w:rPr>
                <w:rFonts w:ascii="宋体" w:hAnsi="宋体" w:eastAsia="宋体" w:cs="宋体"/>
                <w:b/>
                <w:bCs/>
                <w:sz w:val="24"/>
                <w:szCs w:val="24"/>
              </w:rPr>
            </w:pPr>
            <w:r>
              <w:rPr>
                <w:rFonts w:hint="eastAsia" w:ascii="宋体" w:hAnsi="宋体" w:cs="宋体"/>
                <w:b/>
                <w:bCs/>
                <w:sz w:val="24"/>
              </w:rPr>
              <w:t>致畸性：</w:t>
            </w:r>
          </w:p>
        </w:tc>
        <w:tc>
          <w:tcPr>
            <w:tcW w:w="431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61696E4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0"/>
              <w:jc w:val="left"/>
              <w:textAlignment w:val="auto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eastAsia="宋体"/>
                <w:b w:val="0"/>
                <w:bCs w:val="0"/>
                <w:sz w:val="24"/>
                <w:szCs w:val="24"/>
              </w:rPr>
              <w:t>在动物试验显现出致畸效应。可能对胎儿造成伤害。</w:t>
            </w:r>
          </w:p>
        </w:tc>
      </w:tr>
      <w:tr w14:paraId="657E74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466F4390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rFonts w:hint="eastAsia" w:hAnsi="Arial"/>
                <w:b/>
                <w:sz w:val="24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 w:val="1"/>
                <w:bCs w:val="1"/>
                <w:kern w:val="2"/>
                <w:sz w:val="21"/>
                <w:szCs w:val="21"/>
                <w:lang w:val="en-US" w:eastAsia="zh-CN" w:bidi="ar-SA"/>
              </w:rPr>
              <w:t>11.8</w:t>
            </w:r>
            <w:r>
              <w:rPr>
                <w:rFonts w:hint="eastAsia" w:cs="Times New Roman" w:eastAsia="宋体"/>
                <w:b w:val="1"/>
                <w:bCs w:val="1"/>
                <w:kern w:val="2"/>
                <w:sz w:val="24"/>
                <w:szCs w:val="24"/>
                <w:lang w:val="en-US" w:eastAsia="zh-CN" w:bidi="ar-SA"/>
              </w:rPr>
              <w:t xml:space="preserve">  </w:t>
            </w:r>
            <w:r>
              <w:rPr>
                <w:rFonts w:hint="eastAsia" w:hAnsi="Arial" w:eastAsia="宋体"/>
                <w:b w:val="1"/>
                <w:bCs w:val="1"/>
                <w:sz w:val="24"/>
                <w:szCs w:val="24"/>
                <w:lang w:val="en-US" w:eastAsia="zh-CN"/>
              </w:rPr>
              <w:t>特异性靶器官系统毒性（一次接触/反复接触）：</w:t>
            </w: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5D0C0A1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0"/>
              <w:jc w:val="left"/>
              <w:textAlignment w:val="auto"/>
              <w:rPr>
                <w:rFonts w:hint="default" w:hAnsi="Arial"/>
                <w:sz w:val="24"/>
                <w:lang w:val="en-US" w:eastAsia="zh-CN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>可能造成呼吸道刺激。</w:t>
            </w:r>
          </w:p>
        </w:tc>
      </w:tr>
      <w:tr w14:paraId="4CDF04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AF3F3AE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rFonts w:hint="eastAsia" w:hAnsi="Arial"/>
                <w:b/>
                <w:sz w:val="24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 w:val="1"/>
                <w:bCs w:val="1"/>
                <w:kern w:val="2"/>
                <w:sz w:val="21"/>
                <w:szCs w:val="21"/>
                <w:lang w:val="en-US" w:eastAsia="zh-CN" w:bidi="ar-SA"/>
              </w:rPr>
              <w:t>11.9</w:t>
            </w:r>
            <w:r>
              <w:rPr>
                <w:rFonts w:hint="eastAsia" w:cs="Times New Roman" w:eastAsia="宋体"/>
                <w:b w:val="1"/>
                <w:bCs w:val="1"/>
                <w:kern w:val="2"/>
                <w:sz w:val="24"/>
                <w:szCs w:val="24"/>
                <w:lang w:val="en-US" w:eastAsia="zh-CN" w:bidi="ar-SA"/>
              </w:rPr>
              <w:t xml:space="preserve">  </w:t>
            </w:r>
            <w:r>
              <w:rPr>
                <w:rFonts w:hint="eastAsia" w:hAnsi="Arial" w:eastAsia="宋体"/>
                <w:b w:val="1"/>
                <w:bCs w:val="1"/>
                <w:sz w:val="24"/>
                <w:szCs w:val="24"/>
                <w:lang w:val="en-US" w:eastAsia="zh-CN"/>
              </w:rPr>
              <w:t xml:space="preserve">吸入危险：</w:t>
            </w: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59099FE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0"/>
              <w:jc w:val="left"/>
              <w:textAlignment w:val="auto"/>
              <w:rPr>
                <w:rFonts w:hint="eastAsia" w:hAnsi="Arial"/>
                <w:sz w:val="24"/>
                <w:lang w:val="en-US" w:eastAsia="zh-CN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  <w:lang w:val="en-US" w:eastAsia="zh-CN"/>
              </w:rPr>
              <w:t>无数据资料。</w:t>
            </w:r>
          </w:p>
        </w:tc>
      </w:tr>
      <w:tr w14:paraId="3A7F6B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3519" w:type="dxa"/>
            <w:tcBorders>
              <w:top w:val="dotted" w:color="auto" w:sz="4" w:space="0"/>
              <w:right w:val="dotted" w:color="auto" w:sz="4" w:space="0"/>
            </w:tcBorders>
            <w:vAlign w:val="center"/>
          </w:tcPr>
          <w:p w14:paraId="2CE8DBD7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rFonts w:hint="eastAsia" w:hAnsi="Arial"/>
                <w:b/>
                <w:sz w:val="24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 w:val="1"/>
                <w:bCs w:val="1"/>
                <w:kern w:val="2"/>
                <w:sz w:val="21"/>
                <w:szCs w:val="21"/>
                <w:lang w:val="en-US" w:eastAsia="zh-CN" w:bidi="ar-SA"/>
              </w:rPr>
              <w:t>11.10</w:t>
            </w:r>
            <w:r>
              <w:rPr>
                <w:rFonts w:hint="eastAsia" w:cs="Times New Roman" w:eastAsia="宋体"/>
                <w:b w:val="1"/>
                <w:bCs w:val="1"/>
                <w:kern w:val="2"/>
                <w:sz w:val="24"/>
                <w:szCs w:val="24"/>
                <w:lang w:val="en-US" w:eastAsia="zh-CN" w:bidi="ar-SA"/>
              </w:rPr>
              <w:t xml:space="preserve"> </w:t>
            </w:r>
            <w:r>
              <w:rPr>
                <w:rFonts w:hint="eastAsia" w:hAnsi="Arial" w:eastAsia="宋体"/>
                <w:b w:val="1"/>
                <w:bCs w:val="1"/>
                <w:sz w:val="24"/>
                <w:szCs w:val="24"/>
                <w:lang w:val="en-US" w:eastAsia="zh-CN"/>
              </w:rPr>
              <w:t xml:space="preserve"> 附加信息：</w:t>
            </w: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</w:tcBorders>
          </w:tcPr>
          <w:p w14:paraId="715C379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0"/>
              <w:jc w:val="left"/>
              <w:textAlignment w:val="auto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>N－甲基吡咯烷酮有经皮吸收危险。</w:t>
            </w:r>
          </w:p>
        </w:tc>
      </w:tr>
    </w:tbl>
    <w:p w14:paraId="1DBC8BFE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04"/>
        <w:gridCol w:w="6277"/>
      </w:tblGrid>
      <w:tr w14:paraId="6C1B38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6F29EC5C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12.</w:t>
            </w:r>
            <w:r>
              <w:rPr>
                <w:rFonts w:hint="eastAsia" w:hAnsi="Arial"/>
                <w:b/>
                <w:sz w:val="24"/>
              </w:rPr>
              <w:t>生态信息</w:t>
            </w:r>
          </w:p>
        </w:tc>
      </w:tr>
      <w:tr w14:paraId="731737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781" w:type="dxa"/>
            <w:gridSpan w:val="2"/>
            <w:tcBorders>
              <w:top w:val="single" w:color="auto" w:sz="4" w:space="0"/>
              <w:bottom w:val="dotted" w:color="auto" w:sz="4" w:space="0"/>
            </w:tcBorders>
            <w:shd w:val="clear" w:color="auto" w:fill="auto"/>
            <w:vAlign w:val="center"/>
          </w:tcPr>
          <w:p w14:paraId="580BB7A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left"/>
              <w:textAlignment w:val="auto"/>
              <w:rPr>
                <w:b/>
                <w:sz w:val="24"/>
                <w:shd w:val="clear" w:color="auto" w:fill="auto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  <w:shd w:val="clear" w:color="auto" w:fill="auto"/>
              </w:rPr>
              <w:t>该产品无可用的生态毒理学研究。</w:t>
            </w:r>
          </w:p>
        </w:tc>
      </w:tr>
      <w:tr w14:paraId="3AB6E8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781" w:type="dxa"/>
            <w:gridSpan w:val="2"/>
            <w:tcBorders>
              <w:top w:val="dotted" w:color="auto" w:sz="4" w:space="0"/>
              <w:bottom w:val="dotted" w:color="auto" w:sz="4" w:space="0"/>
            </w:tcBorders>
            <w:shd w:val="clear" w:color="auto" w:fill="auto"/>
            <w:vAlign w:val="center"/>
          </w:tcPr>
          <w:p w14:paraId="716EDF0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left"/>
              <w:textAlignment w:val="auto"/>
              <w:rPr>
                <w:rFonts w:hint="eastAsia" w:hAnsi="Arial"/>
                <w:sz w:val="24"/>
                <w:shd w:val="clear" w:color="auto" w:fill="auto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>以下是N－甲基吡咯烷酮生态毒理学数据</w:t>
            </w:r>
          </w:p>
        </w:tc>
      </w:tr>
      <w:tr w14:paraId="7994A9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2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4C327B4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7" w:leftChars="0" w:hanging="597" w:hangingChars="283"/>
              <w:jc w:val="left"/>
              <w:textAlignment w:val="auto"/>
              <w:rPr>
                <w:rFonts w:hint="default" w:eastAsia="宋体"/>
                <w:sz w:val="24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12.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1  </w:t>
            </w:r>
            <w:r>
              <w:rPr>
                <w:rFonts w:hint="eastAsia" w:hAnsi="Arial"/>
                <w:b/>
                <w:sz w:val="24"/>
              </w:rPr>
              <w:t>生态毒性：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3DC9078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/>
                <w:b w:val="0"/>
                <w:bCs/>
                <w:sz w:val="24"/>
                <w:shd w:val="clear" w:color="auto" w:fill="auto"/>
                <w:lang w:val="en-US" w:eastAsia="zh-CN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  <w:shd w:val="clear" w:color="auto" w:fill="auto"/>
                <w:lang w:val="en-US" w:eastAsia="zh-CN"/>
              </w:rPr>
              <w:t>对鱼类的毒性：</w:t>
              <w:br/>
              <w:t>半数致死浓度（LC50）/96h/虹鳟：500mg/l</w:t>
              <w:br/>
              <w:t>其他：</w:t>
              <w:br/>
              <w:t>半数致死有效浓度（EC50）/72h/藻类：＞500mg/l</w:t>
              <w:br/>
              <w:t>半数致死有效浓度（EC50）/24h/大型溞：＞1,000mg/l</w:t>
            </w:r>
          </w:p>
        </w:tc>
      </w:tr>
      <w:tr w14:paraId="3CB8CC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2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4F8F9209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7" w:leftChars="0" w:hanging="597" w:hangingChars="283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12.2</w:t>
            </w:r>
            <w:r>
              <w:rPr>
                <w:rFonts w:hint="eastAsia" w:cs="Times New Roman"/>
                <w:b/>
                <w:kern w:val="2"/>
                <w:sz w:val="24"/>
                <w:szCs w:val="24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持久性和降解性：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49C5301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1"/>
              <w:jc w:val="left"/>
              <w:textAlignment w:val="auto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>生物降解性：73 %，28 d，即易生物降解。</w:t>
            </w:r>
          </w:p>
        </w:tc>
      </w:tr>
      <w:tr w14:paraId="31B028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2" w:hRule="atLeast"/>
        </w:trPr>
        <w:tc>
          <w:tcPr>
            <w:tcW w:w="3504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01AA066D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7" w:leftChars="0" w:hanging="597" w:hangingChars="283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12.3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其他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不利的影响</w:t>
            </w:r>
            <w:r>
              <w:rPr>
                <w:rFonts w:hint="eastAsia" w:hAnsi="Arial"/>
                <w:b/>
                <w:sz w:val="24"/>
              </w:rPr>
              <w:t>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</w:tcPr>
          <w:p w14:paraId="7548558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1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  <w:lang w:val="en-US" w:eastAsia="zh-CN"/>
              </w:rPr>
              <w:t>无数据资料。</w:t>
            </w:r>
          </w:p>
        </w:tc>
      </w:tr>
    </w:tbl>
    <w:p w14:paraId="113DEAAE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04"/>
        <w:gridCol w:w="6277"/>
      </w:tblGrid>
      <w:tr w14:paraId="66D0AC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6B06BC85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13. </w:t>
            </w:r>
            <w:r>
              <w:rPr>
                <w:rFonts w:hint="eastAsia" w:hAnsi="Arial"/>
                <w:b/>
                <w:sz w:val="24"/>
              </w:rPr>
              <w:t>处理注意事项</w:t>
            </w:r>
          </w:p>
        </w:tc>
      </w:tr>
      <w:tr w14:paraId="6C5A3A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</w:trPr>
        <w:tc>
          <w:tcPr>
            <w:tcW w:w="9781" w:type="dxa"/>
            <w:gridSpan w:val="2"/>
            <w:tcBorders>
              <w:top w:val="single" w:color="auto" w:sz="4" w:space="0"/>
              <w:bottom w:val="dotted" w:color="auto" w:sz="4" w:space="0"/>
            </w:tcBorders>
            <w:vAlign w:val="center"/>
          </w:tcPr>
          <w:p w14:paraId="49E7077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Lines="20" w:afterLines="20" w:line="240" w:lineRule="atLeast"/>
              <w:ind w:left="34"/>
              <w:jc w:val="left"/>
              <w:textAlignment w:val="auto"/>
              <w:rPr>
                <w:rFonts w:hint="eastAsia" w:hAnsi="Arial"/>
                <w:sz w:val="24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</w:rPr>
              <w:t>必须遵守适用的国标、国家或当地法规进行废弃。</w:t>
              <w:br/>
              <w:t>在欧盟领域内废弃，应根据欧洲废弃物分类（EWC）的适当法规。</w:t>
            </w:r>
          </w:p>
        </w:tc>
      </w:tr>
      <w:tr w14:paraId="3A3071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7436379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center"/>
              <w:textAlignment w:val="auto"/>
              <w:rPr>
                <w:sz w:val="24"/>
              </w:rPr>
            </w:pPr>
            <w:r>
              <w:rPr>
                <w:rFonts w:hint="eastAsia" w:hAnsi="Arial"/>
                <w:b/>
                <w:sz w:val="24"/>
              </w:rPr>
              <w:t>处理方法：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  <w:vAlign w:val="center"/>
          </w:tcPr>
          <w:p w14:paraId="3EFBDB5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both"/>
              <w:textAlignment w:val="auto"/>
              <w:rPr>
                <w:sz w:val="24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</w:rPr>
              <w:t>尽可能将容器倒空（例如经倾倒，刮擦或排干直至“滴干”）</w:t>
              <w:br/>
              <w:t>可根据化学工业现存的回收方案送往适当的收集点处理。</w:t>
              <w:br/>
              <w:t>容器应按照国家法令和环境相关法规进行回收。</w:t>
              <w:br/>
              <w:t>不能将废弃物通过废水排放。</w:t>
            </w:r>
            <w:r>
              <w:rPr>
                <w:rFonts w:hint="eastAsia"/>
                <w:sz w:val="24"/>
              </w:rPr>
            </w:r>
            <w:r>
              <w:rPr>
                <w:rFonts w:hint="eastAsia" w:hAnsi="Arial"/>
                <w:sz w:val="24"/>
              </w:rPr>
            </w:r>
            <w:r>
              <w:rPr>
                <w:rFonts w:hint="eastAsia"/>
                <w:sz w:val="24"/>
              </w:rPr>
            </w:r>
            <w:r>
              <w:rPr>
                <w:rFonts w:hint="eastAsia" w:hAnsi="Arial"/>
                <w:sz w:val="24"/>
              </w:rPr>
            </w:r>
          </w:p>
        </w:tc>
      </w:tr>
    </w:tbl>
    <w:p w14:paraId="4FC2F438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04"/>
        <w:gridCol w:w="6277"/>
      </w:tblGrid>
      <w:tr w14:paraId="7B487A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dotted" w:color="auto" w:sz="4" w:space="0"/>
            </w:tcBorders>
            <w:shd w:val="clear" w:color="auto" w:fill="D9D9D9"/>
          </w:tcPr>
          <w:p w14:paraId="5D6DDD14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14. </w:t>
            </w:r>
            <w:r>
              <w:rPr>
                <w:rFonts w:hint="eastAsia" w:hAnsi="Arial"/>
                <w:b/>
                <w:sz w:val="24"/>
              </w:rPr>
              <w:t>运输信息</w:t>
            </w:r>
          </w:p>
        </w:tc>
      </w:tr>
      <w:tr w14:paraId="308B5E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99E9AB5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14.1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公路和铁路运输：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014F40C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34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</w:rPr>
              <w:t>非危险品陆运输方式。</w:t>
            </w:r>
          </w:p>
        </w:tc>
      </w:tr>
      <w:tr w14:paraId="6DCCEC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4CFEF3D7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14.2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海上运输：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6F80C30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34" w:right="48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</w:rPr>
              <w:t>非危险品海运方式。</w:t>
            </w:r>
          </w:p>
        </w:tc>
      </w:tr>
      <w:tr w14:paraId="5C8C79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4B11CF4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14.3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空运：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2EA81C7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34" w:right="48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</w:rPr>
              <w:t>非危险品运输方式。</w:t>
            </w:r>
          </w:p>
        </w:tc>
      </w:tr>
      <w:tr w14:paraId="40A5C6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9" w:hRule="atLeast"/>
        </w:trPr>
        <w:tc>
          <w:tcPr>
            <w:tcW w:w="3504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261CF3AC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14.4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用户特殊注意事项：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  <w:vAlign w:val="center"/>
          </w:tcPr>
          <w:p w14:paraId="130CA99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34" w:right="480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</w:rPr>
              <w:t>非危险货物。</w:t>
              <w:br/>
              <w:t>避免温度高于+35℃，温度不可低于+5℃。</w:t>
              <w:br/>
              <w:t>远离食物、酸和碱。</w:t>
            </w:r>
          </w:p>
        </w:tc>
      </w:tr>
    </w:tbl>
    <w:p w14:paraId="7D7B3500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781"/>
      </w:tblGrid>
      <w:tr w14:paraId="50F9C8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tcBorders>
              <w:bottom w:val="single" w:color="auto" w:sz="4" w:space="0"/>
              <w:tl2br w:val="nil"/>
              <w:tr2bl w:val="nil"/>
            </w:tcBorders>
            <w:shd w:val="clear" w:color="auto" w:fill="D9D9D9"/>
          </w:tcPr>
          <w:p w14:paraId="333712D5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15. </w:t>
            </w:r>
            <w:r>
              <w:rPr>
                <w:rFonts w:hint="eastAsia"/>
                <w:b/>
                <w:sz w:val="24"/>
              </w:rPr>
              <w:t>法规信息</w:t>
            </w:r>
          </w:p>
        </w:tc>
      </w:tr>
      <w:tr w14:paraId="4F8DFE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0" w:hRule="atLeast"/>
        </w:trPr>
        <w:tc>
          <w:tcPr>
            <w:tcW w:w="9781" w:type="dxa"/>
            <w:tcBorders>
              <w:top w:val="single" w:color="auto" w:sz="4" w:space="0"/>
              <w:bottom w:val="dotted" w:color="auto" w:sz="4" w:space="0"/>
            </w:tcBorders>
            <w:vAlign w:val="center"/>
          </w:tcPr>
          <w:p w14:paraId="0076445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cs="Arial"/>
                <w:bCs/>
                <w:kern w:val="0"/>
                <w:sz w:val="24"/>
              </w:rPr>
            </w:pPr>
            <w:bookmarkStart w:id="0" w:name="_GoBack" w:colFirst="0" w:colLast="0"/>
            <w:r>
              <w:rPr>
                <w:rFonts w:hint="eastAsia" w:cs="Arial" w:eastAsia="宋体"/>
                <w:b w:val="0"/>
                <w:bCs w:val="0"/>
                <w:kern w:val="0"/>
                <w:sz w:val="24"/>
                <w:szCs w:val="24"/>
              </w:rPr>
              <w:t>物质或混合物的相关安全、健康和环保法律法规</w:t>
            </w:r>
          </w:p>
        </w:tc>
      </w:tr>
      <w:tr w14:paraId="3667D9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1" w:hRule="atLeast"/>
        </w:trPr>
        <w:tc>
          <w:tcPr>
            <w:tcW w:w="9781" w:type="dxa"/>
            <w:tcBorders>
              <w:top w:val="dotted" w:color="auto" w:sz="4" w:space="0"/>
              <w:bottom w:val="dotted" w:color="auto" w:sz="4" w:space="0"/>
            </w:tcBorders>
            <w:vAlign w:val="center"/>
          </w:tcPr>
          <w:p w14:paraId="3E3DA5C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cs="Arial"/>
                <w:b/>
                <w:bCs/>
                <w:kern w:val="0"/>
                <w:sz w:val="24"/>
              </w:rPr>
            </w:pPr>
            <w:r>
              <w:rPr>
                <w:rFonts w:hint="eastAsia" w:cs="Arial"/>
                <w:b/>
                <w:bCs/>
                <w:kern w:val="0"/>
                <w:sz w:val="24"/>
              </w:rPr>
              <w:t>其它的规定：</w:t>
            </w:r>
          </w:p>
        </w:tc>
      </w:tr>
      <w:tr w14:paraId="7EC7D6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1" w:hRule="atLeast"/>
        </w:trPr>
        <w:tc>
          <w:tcPr>
            <w:tcW w:w="9781" w:type="dxa"/>
            <w:tcBorders>
              <w:top w:val="dotted" w:color="auto" w:sz="4" w:space="0"/>
              <w:bottom w:val="dotted" w:color="auto" w:sz="4" w:space="0"/>
            </w:tcBorders>
            <w:vAlign w:val="center"/>
          </w:tcPr>
          <w:p w14:paraId="159F4AE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cs="Arial"/>
                <w:b/>
                <w:bCs/>
                <w:kern w:val="0"/>
                <w:sz w:val="24"/>
              </w:rPr>
            </w:pPr>
            <w:r>
              <w:rPr>
                <w:rFonts w:hint="eastAsia" w:cs="Arial"/>
                <w:b/>
                <w:bCs/>
                <w:kern w:val="0"/>
                <w:sz w:val="24"/>
              </w:rPr>
              <w:t>符合下列法规要求：</w:t>
            </w:r>
          </w:p>
        </w:tc>
      </w:tr>
      <w:tr w14:paraId="49C1F3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9781" w:type="dxa"/>
            <w:tcBorders>
              <w:top w:val="dotted" w:color="auto" w:sz="4" w:space="0"/>
              <w:bottom w:val="dotted" w:color="auto" w:sz="4" w:space="0"/>
            </w:tcBorders>
            <w:vAlign w:val="center"/>
          </w:tcPr>
          <w:p w14:paraId="79BB84B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cs="Arial"/>
                <w:bCs/>
                <w:kern w:val="0"/>
                <w:sz w:val="24"/>
              </w:rPr>
            </w:pPr>
            <w:r>
              <w:rPr>
                <w:rFonts w:hint="eastAsia" w:cs="Arial" w:eastAsia="宋体"/>
                <w:b w:val="0"/>
                <w:bCs w:val="0"/>
                <w:kern w:val="0"/>
                <w:sz w:val="24"/>
                <w:szCs w:val="24"/>
              </w:rPr>
              <w:t>危险化学品安全管理条例，国务院令591号</w:t>
            </w:r>
            <w:r>
              <w:rPr>
                <w:rFonts w:hint="eastAsia" w:cs="Arial"/>
                <w:bCs/>
                <w:kern w:val="0"/>
                <w:sz w:val="24"/>
                <w:lang w:val="en-US" w:eastAsia="zh-CN"/>
              </w:rPr>
            </w:r>
            <w:r>
              <w:rPr>
                <w:rFonts w:hint="eastAsia" w:cs="Arial"/>
                <w:bCs/>
                <w:kern w:val="0"/>
                <w:sz w:val="24"/>
              </w:rPr>
            </w:r>
          </w:p>
        </w:tc>
      </w:tr>
      <w:tr w14:paraId="1634EF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9781" w:type="dxa"/>
            <w:tcBorders>
              <w:top w:val="dotted" w:color="auto" w:sz="4" w:space="0"/>
              <w:bottom w:val="dotted" w:color="auto" w:sz="4" w:space="0"/>
            </w:tcBorders>
            <w:vAlign w:val="center"/>
          </w:tcPr>
          <w:p w14:paraId="14529E3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cs="Arial"/>
                <w:bCs/>
                <w:kern w:val="0"/>
                <w:sz w:val="24"/>
              </w:rPr>
            </w:pPr>
            <w:r>
              <w:rPr>
                <w:rFonts w:cs="Arial" w:eastAsia="宋体"/>
                <w:b w:val="0"/>
                <w:bCs w:val="0"/>
                <w:kern w:val="0"/>
                <w:sz w:val="24"/>
                <w:szCs w:val="24"/>
              </w:rPr>
              <w:t>GB/T 16483 化学品安全技术说明书内容和项目顺序</w:t>
            </w:r>
            <w:r>
              <w:rPr>
                <w:rFonts w:hint="eastAsia" w:cs="Arial"/>
                <w:bCs/>
                <w:kern w:val="0"/>
                <w:sz w:val="24"/>
              </w:rPr>
            </w:r>
          </w:p>
        </w:tc>
      </w:tr>
      <w:tr w14:paraId="383D97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9781" w:type="dxa"/>
            <w:tcBorders>
              <w:top w:val="dotted" w:color="auto" w:sz="4" w:space="0"/>
              <w:bottom w:val="dotted" w:color="auto" w:sz="4" w:space="0"/>
            </w:tcBorders>
            <w:vAlign w:val="center"/>
          </w:tcPr>
          <w:p w14:paraId="2E97D1D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cs="Arial"/>
                <w:bCs/>
                <w:kern w:val="0"/>
                <w:sz w:val="24"/>
              </w:rPr>
            </w:pPr>
            <w:r>
              <w:rPr>
                <w:rFonts w:cs="Arial" w:eastAsia="宋体"/>
                <w:b w:val="0"/>
                <w:bCs w:val="0"/>
                <w:kern w:val="0"/>
                <w:sz w:val="24"/>
                <w:szCs w:val="24"/>
              </w:rPr>
              <w:t>GB 13690 化学品分类和危险性公示通则</w:t>
            </w:r>
            <w:r>
              <w:rPr>
                <w:rFonts w:hint="eastAsia" w:cs="Arial"/>
                <w:bCs/>
                <w:kern w:val="0"/>
                <w:sz w:val="24"/>
              </w:rPr>
            </w:r>
          </w:p>
        </w:tc>
      </w:tr>
      <w:tr w14:paraId="59FB40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9781" w:type="dxa"/>
            <w:tcBorders>
              <w:top w:val="dotted" w:color="auto" w:sz="4" w:space="0"/>
              <w:bottom w:val="dotted" w:color="auto" w:sz="4" w:space="0"/>
            </w:tcBorders>
            <w:vAlign w:val="center"/>
          </w:tcPr>
          <w:p w14:paraId="5747FF7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hint="default" w:eastAsia="宋体" w:cs="Arial"/>
                <w:bCs/>
                <w:kern w:val="0"/>
                <w:sz w:val="24"/>
                <w:lang w:val="en-US" w:eastAsia="zh-CN"/>
              </w:rPr>
            </w:pPr>
            <w:r>
              <w:rPr>
                <w:rFonts w:cs="Arial" w:eastAsia="宋体"/>
                <w:b w:val="0"/>
                <w:bCs w:val="0"/>
                <w:kern w:val="0"/>
                <w:sz w:val="24"/>
                <w:szCs w:val="24"/>
              </w:rPr>
              <w:t>GB 30000.2-29 化学品分类和标签规范</w:t>
            </w:r>
            <w:r>
              <w:rPr>
                <w:rFonts w:hint="eastAsia" w:cs="Arial"/>
                <w:bCs/>
                <w:kern w:val="0"/>
                <w:sz w:val="24"/>
                <w:lang w:val="en-US" w:eastAsia="zh-CN"/>
              </w:rPr>
            </w:r>
          </w:p>
        </w:tc>
      </w:tr>
      <w:tr w14:paraId="76C5C6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9781" w:type="dxa"/>
            <w:tcBorders>
              <w:top w:val="dotted" w:color="auto" w:sz="4" w:space="0"/>
            </w:tcBorders>
            <w:vAlign w:val="center"/>
          </w:tcPr>
          <w:p w14:paraId="25F66DD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hint="default" w:eastAsia="宋体" w:cs="Arial"/>
                <w:bCs/>
                <w:kern w:val="0"/>
                <w:sz w:val="24"/>
                <w:lang w:val="en-US" w:eastAsia="zh-CN"/>
              </w:rPr>
            </w:pPr>
            <w:r>
              <w:rPr>
                <w:rFonts w:hint="eastAsia" w:cs="Arial" w:eastAsia="宋体"/>
                <w:b w:val="0"/>
                <w:bCs w:val="0"/>
                <w:kern w:val="0"/>
                <w:sz w:val="24"/>
                <w:szCs w:val="24"/>
                <w:lang w:val="en-US" w:eastAsia="zh-CN"/>
              </w:rPr>
              <w:t>GB 15258 化学品安全标签编写规定</w:t>
            </w:r>
          </w:p>
        </w:tc>
      </w:tr>
      <w:bookmarkEnd w:id="0"/>
    </w:tbl>
    <w:p w14:paraId="732CB0C7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781"/>
      </w:tblGrid>
      <w:tr w14:paraId="2CB9F0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  <w:vAlign w:val="top"/>
          </w:tcPr>
          <w:p w14:paraId="507596F8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16. </w:t>
            </w:r>
            <w:r>
              <w:rPr>
                <w:rFonts w:hint="eastAsia"/>
                <w:b/>
                <w:sz w:val="24"/>
              </w:rPr>
              <w:t>其他信息</w:t>
            </w:r>
          </w:p>
        </w:tc>
      </w:tr>
      <w:tr w14:paraId="431641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781" w:type="dxa"/>
            <w:tcBorders>
              <w:top w:val="nil"/>
              <w:bottom w:val="single" w:color="auto" w:sz="4" w:space="0"/>
            </w:tcBorders>
            <w:vAlign w:val="top"/>
          </w:tcPr>
          <w:p w14:paraId="3C8BDE5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cs="Arial"/>
                <w:bCs/>
                <w:kern w:val="0"/>
                <w:sz w:val="24"/>
              </w:rPr>
            </w:pPr>
            <w:r>
              <w:rPr>
                <w:rFonts w:hint="eastAsia" w:cs="Arial" w:eastAsia="宋体"/>
                <w:b w:val="0"/>
                <w:bCs w:val="0"/>
                <w:kern w:val="0"/>
                <w:sz w:val="24"/>
                <w:szCs w:val="24"/>
              </w:rPr>
              <w:t>就我们所掌握的知识信息，截止本安全技术说明书发布之日，它提供的资料是正确的。所提供的信息仅仅作为安全处理，使用，生产，储存，运输，处置和排放的指导书，而不是一份担保或品质说明书。本资料只针对所指定的具体物料，而对这种物料与其它物料混合使用或在其它制程中使用的情况，则未必有效（除非在文本中有特别说明）。</w:t>
            </w:r>
          </w:p>
        </w:tc>
      </w:tr>
    </w:tbl>
    <w:p w14:paraId="76B17033"/>
    <w:sectPr>
      <w:headerReference r:id="rId5" w:type="first"/>
      <w:footerReference r:id="rId8" w:type="first"/>
      <w:headerReference r:id="rId3" w:type="default"/>
      <w:footerReference r:id="rId6" w:type="default"/>
      <w:headerReference r:id="rId4" w:type="even"/>
      <w:footerReference r:id="rId7" w:type="even"/>
      <w:pgSz w:w="11906" w:h="16838"/>
      <w:pgMar w:top="2503" w:right="1077" w:bottom="1418" w:left="1077" w:header="851" w:footer="737" w:gutter="0"/>
      <w:pgBorders>
        <w:top w:val="none" w:sz="0" w:space="0"/>
        <w:left w:val="none" w:sz="0" w:space="0"/>
        <w:bottom w:val="none" w:sz="0" w:space="0"/>
        <w:right w:val="none" w:sz="0" w:space="0"/>
      </w:pgBorders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楷体_GB2312">
    <w:altName w:val="楷体"/>
    <w:panose1 w:val="00000000000000000000"/>
    <w:charset w:val="86"/>
    <w:family w:val="modern"/>
    <w:pitch w:val="default"/>
    <w:sig w:usb0="00000000" w:usb1="00000000" w:usb2="00000010" w:usb3="00000000" w:csb0="0004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5"/>
      <w:tblW w:w="9968" w:type="dxa"/>
      <w:tblInd w:w="0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4984"/>
      <w:gridCol w:w="4984"/>
    </w:tblGrid>
    <w:tr w14:paraId="417E9E79">
      <w:tblPrEx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rPr>
        <w:trHeight w:val="566" w:hRule="atLeast"/>
      </w:trPr>
      <w:tc>
        <w:tcPr>
          <w:tcW w:w="4984" w:type="dxa"/>
          <w:vAlign w:val="center"/>
        </w:tcPr>
        <w:p w14:paraId="46D85E13">
          <w:pPr>
            <w:spacing w:line="0" w:lineRule="atLeast"/>
            <w:rPr>
              <w:kern w:val="0"/>
              <w:sz w:val="21"/>
              <w:szCs w:val="21"/>
            </w:rPr>
            <w:jc w:val="left"/>
            <w:jc w:val="left"/>
          </w:pPr>
          <w:r>
            <w:rPr>
              <w:rFonts w:hint="eastAsia"/>
              <w:kern w:val="0"/>
              <w:sz w:val="21"/>
              <w:szCs w:val="21"/>
            </w:rPr>
            <w:t>广州冠志新材料科技有限公司 PU-202B-MSDS</w:t>
          </w:r>
        </w:p>
      </w:tc>
      <w:tc>
        <w:tcPr>
          <w:tcW w:w="4984" w:type="dxa"/>
        </w:tcPr>
        <w:p w14:paraId="32B3FF4C">
          <w:pPr>
            <w:ind w:firstLine="8730" w:firstLineChars="4850"/>
            <w:jc w:val="right"/>
            <w:rPr>
              <w:kern w:val="0"/>
              <w:sz w:val="20"/>
            </w:rPr>
            <w:jc w:val="right"/>
            <w:jc w:val="right"/>
          </w:pPr>
          <w:r>
            <w:rPr>
              <w:rFonts w:ascii="Arial" w:eastAsia="楷体_GB2312"/>
              <w:color w:val="7F7F7F"/>
              <w:kern w:val="0"/>
              <w:sz w:val="18"/>
              <w:szCs w:val="18"/>
            </w:rPr>
            <w:t>修订日期：2026/10/30   </w:t>
          </w:r>
        </w:p>
      </w:tc>
    </w:tr>
    <w:tr w14:paraId="2040E823">
      <w:tblPrEx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4984" w:type="dxa"/>
        </w:tcPr>
        <w:p w14:paraId="410F45E5">
          <w:pPr>
            <w:pStyle w:val="2"/>
            <w:rPr>
              <w:kern w:val="0"/>
              <w:sz w:val="21"/>
              <w:szCs w:val="21"/>
            </w:rPr>
          </w:pPr>
        </w:p>
      </w:tc>
      <w:tc>
        <w:tcPr>
          <w:tcW w:w="4984" w:type="dxa"/>
        </w:tcPr>
        <w:p w14:paraId="43E50451">
          <w:pPr>
            <w:pStyle w:val="2"/>
            <w:jc w:val="right"/>
            <w:rPr>
              <w:kern w:val="0"/>
              <w:sz w:val="24"/>
              <w:szCs w:val="24"/>
            </w:rPr>
          </w:pPr>
          <w:r>
            <w:rPr>
              <w:rFonts w:ascii="Arial" w:eastAsia="楷体_GB2312"/>
              <w:kern w:val="0"/>
            </w:rPr>
            <w:fldChar w:fldCharType="begin"/>
          </w:r>
          <w:r>
            <w:rPr>
              <w:rFonts w:ascii="Arial" w:eastAsia="楷体_GB2312"/>
              <w:kern w:val="0"/>
            </w:rPr>
            <w:instrText xml:space="preserve"> PAGE </w:instrText>
          </w:r>
          <w:r>
            <w:rPr>
              <w:rFonts w:ascii="Arial" w:eastAsia="楷体_GB2312"/>
              <w:kern w:val="0"/>
            </w:rPr>
            <w:fldChar w:fldCharType="separate"/>
          </w:r>
          <w:r>
            <w:rPr>
              <w:rFonts w:ascii="Arial" w:eastAsia="楷体_GB2312"/>
              <w:kern w:val="0"/>
            </w:rPr>
            <w:t>3</w:t>
          </w:r>
          <w:r>
            <w:rPr>
              <w:rFonts w:ascii="Arial" w:eastAsia="楷体_GB2312"/>
              <w:kern w:val="0"/>
            </w:rPr>
            <w:fldChar w:fldCharType="end"/>
          </w:r>
          <w:r>
            <w:rPr>
              <w:rFonts w:ascii="Arial" w:eastAsia="楷体_GB2312"/>
              <w:kern w:val="0"/>
            </w:rPr>
            <w:t xml:space="preserve"> / </w:t>
          </w:r>
          <w:r>
            <w:rPr>
              <w:rFonts w:ascii="Arial" w:eastAsia="楷体_GB2312"/>
              <w:kern w:val="0"/>
            </w:rPr>
            <w:fldChar w:fldCharType="begin"/>
          </w:r>
          <w:r>
            <w:rPr>
              <w:rFonts w:ascii="Arial" w:eastAsia="楷体_GB2312"/>
              <w:kern w:val="0"/>
            </w:rPr>
            <w:instrText xml:space="preserve"> NUMPAGES  </w:instrText>
          </w:r>
          <w:r>
            <w:rPr>
              <w:rFonts w:ascii="Arial" w:eastAsia="楷体_GB2312"/>
              <w:kern w:val="0"/>
            </w:rPr>
            <w:fldChar w:fldCharType="separate"/>
          </w:r>
          <w:r>
            <w:rPr>
              <w:rFonts w:ascii="Arial" w:eastAsia="楷体_GB2312"/>
              <w:kern w:val="0"/>
            </w:rPr>
            <w:t>5</w:t>
          </w:r>
          <w:r>
            <w:rPr>
              <w:rFonts w:ascii="Arial" w:eastAsia="楷体_GB2312"/>
              <w:kern w:val="0"/>
            </w:rPr>
            <w:fldChar w:fldCharType="end"/>
          </w:r>
        </w:p>
      </w:tc>
    </w:tr>
  </w:tbl>
  <w:p w14:paraId="00CCFC91">
    <w:pPr>
      <w:pStyle w:val="2"/>
      <w:rPr>
        <w:sz w:val="24"/>
        <w:szCs w:val="24"/>
      </w:rPr>
    </w:pPr>
    <w:r>
      <w:rPr>
        <w:rFonts w:hint="eastAsia"/>
        <w:sz w:val="24"/>
        <w:szCs w:val="24"/>
      </w:rPr>
      <w:t xml:space="preserve">                                              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79A8188">
    <w:pPr>
      <w:pStyle w:val="2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F658BEE">
    <w:pPr>
      <w:pStyle w:val="2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68B4F50">
    <w:pPr>
      <w:tabs>
        <w:tab w:val="left" w:pos="360"/>
      </w:tabs>
      <w:ind w:left="202" w:hanging="202" w:hangingChars="56"/>
      <w:jc w:val="center"/>
      <w:rPr>
        <w:rFonts w:cs="Arial" w:asciiTheme="majorEastAsia" w:hAnsiTheme="majorEastAsia" w:eastAsiaTheme="majorEastAsia"/>
        <w:b/>
        <w:sz w:val="44"/>
        <w:szCs w:val="44"/>
      </w:rPr>
    </w:pPr>
    <w:r>
      <w:rPr>
        <w:rFonts w:ascii="Arial" w:hAnsi="Arial" w:eastAsia="楷体_GB2312" w:cs="Arial"/>
        <w:b/>
        <w:sz w:val="36"/>
        <w:szCs w:val="36"/>
      </w:rPr>
      <w:t xml:space="preserve">  物料安全数据表</w:t>
    </w:r>
  </w:p>
  <w:p w14:paraId="5120AA12">
    <w:pPr>
      <w:wordWrap w:val="0"/>
      <w:jc w:val="right"/>
      <w:rPr>
        <w:rFonts w:hint="eastAsia" w:ascii="Arial" w:hAnsi="Arial" w:eastAsia="楷体_GB2312"/>
        <w:sz w:val="18"/>
        <w:szCs w:val="18"/>
        <w:lang w:eastAsia="zh-CN"/>
      </w:rPr>
    </w:pPr>
    <w:r>
      <w:rPr>
        <w:rFonts w:ascii="Arial" w:eastAsia="楷体_GB2312"/>
        <w:sz w:val="18"/>
        <w:szCs w:val="18"/>
      </w:rPr>
      <w:t>Version：V1.0</w:t>
    </w:r>
  </w:p>
  <w:tbl>
    <w:tblPr>
      <w:tblStyle w:val="4"/>
      <w:tblW w:w="9781" w:type="dxa"/>
      <w:tblInd w:w="108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9781"/>
    </w:tblGrid>
    <w:tr w14:paraId="53277F5F">
      <w:tblPrEx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9781" w:type="dxa"/>
          <w:shd w:val="clear" w:color="auto" w:fill="D9D9D9"/>
        </w:tcPr>
        <w:p w14:paraId="5D2FB420">
          <w:pPr>
            <w:jc w:val="center"/>
            <w:rPr>
              <w:rFonts w:hint="default" w:eastAsia="楷体_GB2312"/>
              <w:b/>
              <w:sz w:val="36"/>
              <w:szCs w:val="36"/>
              <w:lang w:val="en-US" w:eastAsia="zh-CN"/>
            </w:rPr>
          </w:pPr>
          <w:r>
            <w:rPr>
              <w:rFonts w:hint="eastAsia" w:eastAsia="楷体_GB2312"/>
              <w:b/>
              <w:sz w:val="36"/>
              <w:szCs w:val="36"/>
              <w:lang w:val="en-US" w:eastAsia="zh-CN"/>
            </w:rPr>
            <w:t>PU-202B</w:t>
          </w:r>
        </w:p>
      </w:tc>
    </w:tr>
  </w:tbl>
  <w:p w14:paraId="24682DAE">
    <w:pPr>
      <w:jc w:val="left"/>
      <w:rPr>
        <w:rFonts w:ascii="Arial" w:hAnsi="Arial" w:eastAsia="楷体_GB2312"/>
        <w:color w:val="7F7F7F"/>
        <w:sz w:val="24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30D546A">
    <w:pPr>
      <w:pStyle w:val="3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DF6AC03">
    <w:pPr>
      <w:pStyle w:val="3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6E267157"/>
    <w:multiLevelType w:val="multilevel"/>
    <w:tmpl w:val="6E267157"/>
    <w:lvl w:ilvl="0" w:tentative="0">
      <w:start w:val="7"/>
      <w:numFmt w:val="decimal"/>
      <w:lvlText w:val="%1"/>
      <w:lvlJc w:val="left"/>
      <w:pPr>
        <w:tabs>
          <w:tab w:val="left" w:pos="540"/>
        </w:tabs>
        <w:ind w:left="540" w:hanging="540"/>
      </w:pPr>
      <w:rPr>
        <w:rFonts w:hint="default" w:cs="Times New Roman"/>
      </w:rPr>
    </w:lvl>
    <w:lvl w:ilvl="1" w:tentative="0">
      <w:start w:val="1"/>
      <w:numFmt w:val="decimal"/>
      <w:lvlText w:val="%1.%2"/>
      <w:lvlJc w:val="left"/>
      <w:pPr>
        <w:tabs>
          <w:tab w:val="left" w:pos="540"/>
        </w:tabs>
        <w:ind w:left="540" w:hanging="540"/>
      </w:pPr>
      <w:rPr>
        <w:rFonts w:hint="default" w:cs="Times New Roman"/>
        <w:b/>
        <w:sz w:val="21"/>
        <w:szCs w:val="21"/>
      </w:rPr>
    </w:lvl>
    <w:lvl w:ilvl="2" w:tentative="0">
      <w:start w:val="1"/>
      <w:numFmt w:val="decimal"/>
      <w:lvlText w:val="%1.%2.%3"/>
      <w:lvlJc w:val="left"/>
      <w:pPr>
        <w:tabs>
          <w:tab w:val="left" w:pos="720"/>
        </w:tabs>
        <w:ind w:left="720" w:hanging="720"/>
      </w:pPr>
      <w:rPr>
        <w:rFonts w:hint="default" w:cs="Times New Roman"/>
      </w:rPr>
    </w:lvl>
    <w:lvl w:ilvl="3" w:tentative="0">
      <w:start w:val="1"/>
      <w:numFmt w:val="decimal"/>
      <w:lvlText w:val="%1.%2.%3.%4"/>
      <w:lvlJc w:val="left"/>
      <w:pPr>
        <w:tabs>
          <w:tab w:val="left" w:pos="720"/>
        </w:tabs>
        <w:ind w:left="720" w:hanging="720"/>
      </w:pPr>
      <w:rPr>
        <w:rFonts w:hint="default" w:cs="Times New Roman"/>
      </w:rPr>
    </w:lvl>
    <w:lvl w:ilvl="4" w:tentative="0">
      <w:start w:val="1"/>
      <w:numFmt w:val="decimal"/>
      <w:lvlText w:val="%1.%2.%3.%4.%5"/>
      <w:lvlJc w:val="left"/>
      <w:pPr>
        <w:tabs>
          <w:tab w:val="left" w:pos="1080"/>
        </w:tabs>
        <w:ind w:left="1080" w:hanging="1080"/>
      </w:pPr>
      <w:rPr>
        <w:rFonts w:hint="default" w:cs="Times New Roman"/>
      </w:rPr>
    </w:lvl>
    <w:lvl w:ilvl="5" w:tentative="0">
      <w:start w:val="1"/>
      <w:numFmt w:val="decimal"/>
      <w:lvlText w:val="%1.%2.%3.%4.%5.%6"/>
      <w:lvlJc w:val="left"/>
      <w:pPr>
        <w:tabs>
          <w:tab w:val="left" w:pos="1080"/>
        </w:tabs>
        <w:ind w:left="1080" w:hanging="1080"/>
      </w:pPr>
      <w:rPr>
        <w:rFonts w:hint="default" w:cs="Times New Roman"/>
      </w:rPr>
    </w:lvl>
    <w:lvl w:ilvl="6" w:tentative="0">
      <w:start w:val="1"/>
      <w:numFmt w:val="decimal"/>
      <w:lvlText w:val="%1.%2.%3.%4.%5.%6.%7"/>
      <w:lvlJc w:val="left"/>
      <w:pPr>
        <w:tabs>
          <w:tab w:val="left" w:pos="1440"/>
        </w:tabs>
        <w:ind w:left="1440" w:hanging="1440"/>
      </w:pPr>
      <w:rPr>
        <w:rFonts w:hint="default" w:cs="Times New Roman"/>
      </w:rPr>
    </w:lvl>
    <w:lvl w:ilvl="7" w:tentative="0">
      <w:start w:val="1"/>
      <w:numFmt w:val="decimal"/>
      <w:lvlText w:val="%1.%2.%3.%4.%5.%6.%7.%8"/>
      <w:lvlJc w:val="left"/>
      <w:pPr>
        <w:tabs>
          <w:tab w:val="left" w:pos="1440"/>
        </w:tabs>
        <w:ind w:left="1440" w:hanging="1440"/>
      </w:pPr>
      <w:rPr>
        <w:rFonts w:hint="default" w:cs="Times New Roman"/>
      </w:rPr>
    </w:lvl>
    <w:lvl w:ilvl="8" w:tentative="0">
      <w:start w:val="1"/>
      <w:numFmt w:val="decimal"/>
      <w:lvlText w:val="%1.%2.%3.%4.%5.%6.%7.%8.%9"/>
      <w:lvlJc w:val="left"/>
      <w:pPr>
        <w:tabs>
          <w:tab w:val="left" w:pos="1800"/>
        </w:tabs>
        <w:ind w:left="1800" w:hanging="1800"/>
      </w:pPr>
      <w:rPr>
        <w:rFonts w:hint="default" w:cs="Times New Roman"/>
      </w:rPr>
    </w:lvl>
  </w:abstractNum>
  <w:abstractNum w:abstractNumId="1">
    <w:nsid w:val="793A78E0"/>
    <w:multiLevelType w:val="multilevel"/>
    <w:tmpl w:val="793A78E0"/>
    <w:lvl w:ilvl="0" w:tentative="0">
      <w:start w:val="3"/>
      <w:numFmt w:val="decimal"/>
      <w:lvlText w:val="%1"/>
      <w:lvlJc w:val="left"/>
      <w:pPr>
        <w:tabs>
          <w:tab w:val="left" w:pos="540"/>
        </w:tabs>
        <w:ind w:left="540" w:hanging="540"/>
      </w:pPr>
      <w:rPr>
        <w:rFonts w:hint="default" w:cs="Times New Roman"/>
      </w:rPr>
    </w:lvl>
    <w:lvl w:ilvl="1" w:tentative="0">
      <w:start w:val="1"/>
      <w:numFmt w:val="decimal"/>
      <w:lvlText w:val="%1.%2"/>
      <w:lvlJc w:val="left"/>
      <w:pPr>
        <w:tabs>
          <w:tab w:val="left" w:pos="540"/>
        </w:tabs>
        <w:ind w:left="540" w:hanging="540"/>
      </w:pPr>
      <w:rPr>
        <w:rFonts w:hint="default" w:cs="Times New Roman"/>
        <w:b/>
        <w:sz w:val="21"/>
        <w:szCs w:val="21"/>
      </w:rPr>
    </w:lvl>
    <w:lvl w:ilvl="2" w:tentative="0">
      <w:start w:val="1"/>
      <w:numFmt w:val="decimal"/>
      <w:lvlText w:val="%1.%2.%3"/>
      <w:lvlJc w:val="left"/>
      <w:pPr>
        <w:tabs>
          <w:tab w:val="left" w:pos="720"/>
        </w:tabs>
        <w:ind w:left="720" w:hanging="720"/>
      </w:pPr>
      <w:rPr>
        <w:rFonts w:hint="default" w:cs="Times New Roman"/>
      </w:rPr>
    </w:lvl>
    <w:lvl w:ilvl="3" w:tentative="0">
      <w:start w:val="1"/>
      <w:numFmt w:val="decimal"/>
      <w:lvlText w:val="%1.%2.%3.%4"/>
      <w:lvlJc w:val="left"/>
      <w:pPr>
        <w:tabs>
          <w:tab w:val="left" w:pos="720"/>
        </w:tabs>
        <w:ind w:left="720" w:hanging="720"/>
      </w:pPr>
      <w:rPr>
        <w:rFonts w:hint="default" w:cs="Times New Roman"/>
      </w:rPr>
    </w:lvl>
    <w:lvl w:ilvl="4" w:tentative="0">
      <w:start w:val="1"/>
      <w:numFmt w:val="decimal"/>
      <w:lvlText w:val="%1.%2.%3.%4.%5"/>
      <w:lvlJc w:val="left"/>
      <w:pPr>
        <w:tabs>
          <w:tab w:val="left" w:pos="1080"/>
        </w:tabs>
        <w:ind w:left="1080" w:hanging="1080"/>
      </w:pPr>
      <w:rPr>
        <w:rFonts w:hint="default" w:cs="Times New Roman"/>
      </w:rPr>
    </w:lvl>
    <w:lvl w:ilvl="5" w:tentative="0">
      <w:start w:val="1"/>
      <w:numFmt w:val="decimal"/>
      <w:lvlText w:val="%1.%2.%3.%4.%5.%6"/>
      <w:lvlJc w:val="left"/>
      <w:pPr>
        <w:tabs>
          <w:tab w:val="left" w:pos="1080"/>
        </w:tabs>
        <w:ind w:left="1080" w:hanging="1080"/>
      </w:pPr>
      <w:rPr>
        <w:rFonts w:hint="default" w:cs="Times New Roman"/>
      </w:rPr>
    </w:lvl>
    <w:lvl w:ilvl="6" w:tentative="0">
      <w:start w:val="1"/>
      <w:numFmt w:val="decimal"/>
      <w:lvlText w:val="%1.%2.%3.%4.%5.%6.%7"/>
      <w:lvlJc w:val="left"/>
      <w:pPr>
        <w:tabs>
          <w:tab w:val="left" w:pos="1440"/>
        </w:tabs>
        <w:ind w:left="1440" w:hanging="1440"/>
      </w:pPr>
      <w:rPr>
        <w:rFonts w:hint="default" w:cs="Times New Roman"/>
      </w:rPr>
    </w:lvl>
    <w:lvl w:ilvl="7" w:tentative="0">
      <w:start w:val="1"/>
      <w:numFmt w:val="decimal"/>
      <w:lvlText w:val="%1.%2.%3.%4.%5.%6.%7.%8"/>
      <w:lvlJc w:val="left"/>
      <w:pPr>
        <w:tabs>
          <w:tab w:val="left" w:pos="1440"/>
        </w:tabs>
        <w:ind w:left="1440" w:hanging="1440"/>
      </w:pPr>
      <w:rPr>
        <w:rFonts w:hint="default" w:cs="Times New Roman"/>
      </w:rPr>
    </w:lvl>
    <w:lvl w:ilvl="8" w:tentative="0">
      <w:start w:val="1"/>
      <w:numFmt w:val="decimal"/>
      <w:lvlText w:val="%1.%2.%3.%4.%5.%6.%7.%8.%9"/>
      <w:lvlJc w:val="left"/>
      <w:pPr>
        <w:tabs>
          <w:tab w:val="left" w:pos="1800"/>
        </w:tabs>
        <w:ind w:left="1800" w:hanging="1800"/>
      </w:pPr>
      <w:rPr>
        <w:rFonts w:hint="default" w:cs="Times New Roman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ZDkyZDE2MzdmZjRiMjBhMjYzZmE3MGFmMTY4N2ZhOTAifQ=="/>
  </w:docVars>
  <w:rsids>
    <w:rsidRoot w:val="00172A27"/>
    <w:rsid w:val="00054D63"/>
    <w:rsid w:val="000A232D"/>
    <w:rsid w:val="000F335C"/>
    <w:rsid w:val="00140D6D"/>
    <w:rsid w:val="00147ACA"/>
    <w:rsid w:val="0019663D"/>
    <w:rsid w:val="0022163F"/>
    <w:rsid w:val="00247204"/>
    <w:rsid w:val="00266D33"/>
    <w:rsid w:val="002854A9"/>
    <w:rsid w:val="002B1D4A"/>
    <w:rsid w:val="002C46D8"/>
    <w:rsid w:val="002E1F13"/>
    <w:rsid w:val="003044A2"/>
    <w:rsid w:val="00306061"/>
    <w:rsid w:val="00347806"/>
    <w:rsid w:val="0035626C"/>
    <w:rsid w:val="00376077"/>
    <w:rsid w:val="00382604"/>
    <w:rsid w:val="003F27B9"/>
    <w:rsid w:val="004004B5"/>
    <w:rsid w:val="004148B3"/>
    <w:rsid w:val="00452D86"/>
    <w:rsid w:val="00456CDB"/>
    <w:rsid w:val="004A3278"/>
    <w:rsid w:val="004D25D8"/>
    <w:rsid w:val="005F347E"/>
    <w:rsid w:val="00606522"/>
    <w:rsid w:val="006273B6"/>
    <w:rsid w:val="006321EB"/>
    <w:rsid w:val="006861E3"/>
    <w:rsid w:val="00701FAF"/>
    <w:rsid w:val="00853404"/>
    <w:rsid w:val="008D3B67"/>
    <w:rsid w:val="00A21619"/>
    <w:rsid w:val="00A26D98"/>
    <w:rsid w:val="00A72AB2"/>
    <w:rsid w:val="00AB7215"/>
    <w:rsid w:val="00AB7498"/>
    <w:rsid w:val="00B20B21"/>
    <w:rsid w:val="00B500B7"/>
    <w:rsid w:val="00BA1097"/>
    <w:rsid w:val="00BA2442"/>
    <w:rsid w:val="00BB25C3"/>
    <w:rsid w:val="00BE10CE"/>
    <w:rsid w:val="00C45C80"/>
    <w:rsid w:val="00CD38D2"/>
    <w:rsid w:val="00CE6BE2"/>
    <w:rsid w:val="00D548B3"/>
    <w:rsid w:val="00D75E1E"/>
    <w:rsid w:val="00DA78A9"/>
    <w:rsid w:val="00DB72E1"/>
    <w:rsid w:val="00E34CDB"/>
    <w:rsid w:val="00E87E33"/>
    <w:rsid w:val="00EC2C76"/>
    <w:rsid w:val="00F9634F"/>
    <w:rsid w:val="01147F10"/>
    <w:rsid w:val="01BE5C10"/>
    <w:rsid w:val="01C0201B"/>
    <w:rsid w:val="02E743F3"/>
    <w:rsid w:val="033E5FE6"/>
    <w:rsid w:val="03CD3581"/>
    <w:rsid w:val="04546492"/>
    <w:rsid w:val="054E7A62"/>
    <w:rsid w:val="057704A1"/>
    <w:rsid w:val="058D2BD0"/>
    <w:rsid w:val="0828271D"/>
    <w:rsid w:val="083F1AB1"/>
    <w:rsid w:val="084A705D"/>
    <w:rsid w:val="08686F25"/>
    <w:rsid w:val="08B149E8"/>
    <w:rsid w:val="0B542115"/>
    <w:rsid w:val="0D9A4456"/>
    <w:rsid w:val="0DB33389"/>
    <w:rsid w:val="0E2B745F"/>
    <w:rsid w:val="0F50181E"/>
    <w:rsid w:val="0F586F34"/>
    <w:rsid w:val="108F6167"/>
    <w:rsid w:val="10B417CB"/>
    <w:rsid w:val="10EB3F15"/>
    <w:rsid w:val="114255F5"/>
    <w:rsid w:val="119B2680"/>
    <w:rsid w:val="11D61814"/>
    <w:rsid w:val="120678DF"/>
    <w:rsid w:val="15440D4D"/>
    <w:rsid w:val="15812A45"/>
    <w:rsid w:val="1631571A"/>
    <w:rsid w:val="17133359"/>
    <w:rsid w:val="18276A54"/>
    <w:rsid w:val="19626851"/>
    <w:rsid w:val="1A483201"/>
    <w:rsid w:val="1AF15BD5"/>
    <w:rsid w:val="1D0E4DCA"/>
    <w:rsid w:val="1DCD4FA0"/>
    <w:rsid w:val="1EC5648C"/>
    <w:rsid w:val="1EEC29D4"/>
    <w:rsid w:val="20353F57"/>
    <w:rsid w:val="22703398"/>
    <w:rsid w:val="24976248"/>
    <w:rsid w:val="24E542B2"/>
    <w:rsid w:val="25003FDE"/>
    <w:rsid w:val="25407D16"/>
    <w:rsid w:val="25D47A2C"/>
    <w:rsid w:val="26034AD3"/>
    <w:rsid w:val="265A6D6B"/>
    <w:rsid w:val="26A03147"/>
    <w:rsid w:val="26BC7D90"/>
    <w:rsid w:val="27782269"/>
    <w:rsid w:val="28E700C4"/>
    <w:rsid w:val="2A307897"/>
    <w:rsid w:val="2A3A21AE"/>
    <w:rsid w:val="2AA34CC0"/>
    <w:rsid w:val="2D362858"/>
    <w:rsid w:val="30481C3A"/>
    <w:rsid w:val="30673AA9"/>
    <w:rsid w:val="30F37B0B"/>
    <w:rsid w:val="316117B5"/>
    <w:rsid w:val="32CE18CE"/>
    <w:rsid w:val="331F3435"/>
    <w:rsid w:val="33302E2E"/>
    <w:rsid w:val="33E971EE"/>
    <w:rsid w:val="35B66EA3"/>
    <w:rsid w:val="35F7037B"/>
    <w:rsid w:val="3604449F"/>
    <w:rsid w:val="36327236"/>
    <w:rsid w:val="377E5D58"/>
    <w:rsid w:val="385E6AE5"/>
    <w:rsid w:val="389D13B9"/>
    <w:rsid w:val="390D26CF"/>
    <w:rsid w:val="39B6242B"/>
    <w:rsid w:val="39E842B9"/>
    <w:rsid w:val="3C0C4A9A"/>
    <w:rsid w:val="3D8B4287"/>
    <w:rsid w:val="3E1D5959"/>
    <w:rsid w:val="3E2F0C3C"/>
    <w:rsid w:val="405D22BA"/>
    <w:rsid w:val="418C67F6"/>
    <w:rsid w:val="418E2B7C"/>
    <w:rsid w:val="45AA6F6F"/>
    <w:rsid w:val="45DA7122"/>
    <w:rsid w:val="464D6940"/>
    <w:rsid w:val="47EC5F75"/>
    <w:rsid w:val="484164CF"/>
    <w:rsid w:val="484A4868"/>
    <w:rsid w:val="484F48F4"/>
    <w:rsid w:val="4B7137DB"/>
    <w:rsid w:val="4D46517C"/>
    <w:rsid w:val="4DC32E11"/>
    <w:rsid w:val="4EB83E58"/>
    <w:rsid w:val="4EEE4EC9"/>
    <w:rsid w:val="5065451B"/>
    <w:rsid w:val="52230864"/>
    <w:rsid w:val="53132108"/>
    <w:rsid w:val="54693859"/>
    <w:rsid w:val="551C16C9"/>
    <w:rsid w:val="55F26890"/>
    <w:rsid w:val="5647069A"/>
    <w:rsid w:val="569B6D5B"/>
    <w:rsid w:val="59BF1A65"/>
    <w:rsid w:val="5A2C7C0A"/>
    <w:rsid w:val="5A547CF5"/>
    <w:rsid w:val="5AC002EC"/>
    <w:rsid w:val="5B0F647C"/>
    <w:rsid w:val="5B8104D4"/>
    <w:rsid w:val="5BF41AFE"/>
    <w:rsid w:val="5C411A0F"/>
    <w:rsid w:val="5C8D1598"/>
    <w:rsid w:val="5D6C3433"/>
    <w:rsid w:val="60781EF7"/>
    <w:rsid w:val="60E4057C"/>
    <w:rsid w:val="637D0A8C"/>
    <w:rsid w:val="63C56334"/>
    <w:rsid w:val="63F60908"/>
    <w:rsid w:val="64B21DE4"/>
    <w:rsid w:val="658845F7"/>
    <w:rsid w:val="67010372"/>
    <w:rsid w:val="67456812"/>
    <w:rsid w:val="68EE4C77"/>
    <w:rsid w:val="6A200D50"/>
    <w:rsid w:val="6B9E64FB"/>
    <w:rsid w:val="6C8D0DE8"/>
    <w:rsid w:val="6D197F5B"/>
    <w:rsid w:val="6D78129B"/>
    <w:rsid w:val="6EC16FCD"/>
    <w:rsid w:val="6ED91EE1"/>
    <w:rsid w:val="6F9326E7"/>
    <w:rsid w:val="720B23B8"/>
    <w:rsid w:val="748F427D"/>
    <w:rsid w:val="762320A0"/>
    <w:rsid w:val="763B629A"/>
    <w:rsid w:val="7652592F"/>
    <w:rsid w:val="77990D78"/>
    <w:rsid w:val="78D9034E"/>
    <w:rsid w:val="79CA3CEB"/>
    <w:rsid w:val="7B0C2D7D"/>
    <w:rsid w:val="7B89575E"/>
    <w:rsid w:val="7B8B5C4F"/>
    <w:rsid w:val="7CD5616B"/>
    <w:rsid w:val="7E3C523D"/>
    <w:rsid w:val="7E9C256A"/>
    <w:rsid w:val="7EA7786C"/>
    <w:rsid w:val="7F727691"/>
    <w:rsid w:val="EFDF87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character" w:default="1" w:styleId="6">
    <w:name w:val="Default Paragraph Font"/>
    <w:semiHidden/>
    <w:unhideWhenUsed/>
    <w:qFormat/>
    <w:uiPriority w:val="1"/>
  </w:style>
  <w:style w:type="table" w:default="1" w:styleId="4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8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3">
    <w:name w:val="header"/>
    <w:basedOn w:val="1"/>
    <w:link w:val="7"/>
    <w:semiHidden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5">
    <w:name w:val="Table Grid"/>
    <w:basedOn w:val="4"/>
    <w:qFormat/>
    <w:uiPriority w:val="59"/>
    <w:pPr>
      <w:widowControl w:val="0"/>
      <w:jc w:val="both"/>
    </w:pPr>
    <w:rPr>
      <w:rFonts w:ascii="Times New Roman" w:hAnsi="Times New Roman" w:eastAsia="宋体" w:cs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7">
    <w:name w:val="页眉 Char"/>
    <w:basedOn w:val="6"/>
    <w:link w:val="3"/>
    <w:semiHidden/>
    <w:qFormat/>
    <w:uiPriority w:val="99"/>
    <w:rPr>
      <w:sz w:val="18"/>
      <w:szCs w:val="18"/>
    </w:rPr>
  </w:style>
  <w:style w:type="character" w:customStyle="1" w:styleId="8">
    <w:name w:val="页脚 Char"/>
    <w:basedOn w:val="6"/>
    <w:link w:val="2"/>
    <w:qFormat/>
    <w:uiPriority w:val="99"/>
    <w:rPr>
      <w:sz w:val="18"/>
      <w:szCs w:val="18"/>
    </w:rPr>
  </w:style>
  <w:style w:type="paragraph" w:customStyle="1" w:styleId="9">
    <w:name w:val="列出段落1"/>
    <w:basedOn w:val="1"/>
    <w:qFormat/>
    <w:uiPriority w:val="34"/>
    <w:pPr>
      <w:ind w:firstLine="420" w:firstLineChars="200"/>
    </w:pPr>
  </w:style>
  <w:style w:type="paragraph" w:styleId="10">
    <w:name w:val="List Paragraph"/>
    <w:basedOn w:val="1"/>
    <w:qFormat/>
    <w:uiPriority w:val="34"/>
    <w:pPr>
      <w:ind w:firstLine="420" w:firstLineChars="200"/>
    </w:pPr>
  </w:style>
  <w:style w:type="paragraph" w:customStyle="1" w:styleId="11">
    <w:name w:val="Default"/>
    <w:unhideWhenUsed/>
    <w:qFormat/>
    <w:uiPriority w:val="99"/>
    <w:pPr>
      <w:widowControl w:val="0"/>
      <w:autoSpaceDE w:val="0"/>
      <w:autoSpaceDN w:val="0"/>
      <w:adjustRightInd w:val="0"/>
      <w:spacing w:beforeLines="0" w:afterLines="0"/>
    </w:pPr>
    <w:rPr>
      <w:rFonts w:hint="eastAsia" w:ascii="黑体" w:hAnsi="黑体" w:eastAsia="黑体" w:cs="Times New Roman"/>
      <w:color w:val="000000"/>
      <w:sz w:val="24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3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3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Relationship Id="rId21" Type="http://schemas.openxmlformats.org/officeDocument/2006/relationships/image" Target="media/image_ghs_1793331301943_0.png"/><Relationship Id="rId31" Type="http://schemas.openxmlformats.org/officeDocument/2006/relationships/image" Target="media/image_ghs_1793331308979_0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7</Pages>
  <Words>2838</Words>
  <Characters>3308</Characters>
  <Lines>18</Lines>
  <Paragraphs>5</Paragraphs>
  <TotalTime>6</TotalTime>
  <ScaleCrop>false</ScaleCrop>
  <LinksUpToDate>false</LinksUpToDate>
  <CharactersWithSpaces>3521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2015-06-04T10:34:00Z</dcterms:created>
  <dc:creator>Windows 用户</dc:creator>
  <cp:lastModifiedBy>陈子钦</cp:lastModifiedBy>
  <cp:lastPrinted>2015-06-04T15:20:00Z</cp:lastPrinted>
  <dcterms:modified xsi:type="dcterms:W3CDTF">2026-09-22T07:00:15Z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2052-12.1.0.28043</vt:lpwstr>
  </property>
  <property fmtid="{D5CDD505-2E9C-101B-9397-08002B2CF9AE}" pid="3" name="ICV">
    <vt:lpwstr>BCF8C8DB900544889F7722A8FE645883_13</vt:lpwstr>
  </property>
  <property fmtid="{D5CDD505-2E9C-101B-9397-08002B2CF9AE}" pid="4" name="KSOTemplateDocerSaveRecord">
    <vt:lpwstr>eyJoZGlkIjoiMGU0NzVjNDQ1NTM2YThmMjJkODA1NWYxODU0ZDMyMDUiLCJ1c2VySWQiOiIxNjgxODg1MTYwIn0=</vt:lpwstr>
  </property>
</Properties>
</file>