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PU-202B</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leather finishing, textile coating, plastic coatings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Yingde Guocai New Material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Kaidi Industrial Park, Genggukeng, Taiping Village, Baisha Town, Yingde, Guangdong, China</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86-763-2811205</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86-763-2811024</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Reproductive toxicity (Category 1B), H360</w:t>
            </w:r>
          </w:p>
          <w:p>
            <w:pPr>
              <w:spacing w:line="300" w:lineRule="auto" w:before="240"/>
            </w:pPr>
            <w:r>
              <w:rPr>
                <w:rFonts w:ascii="Arial" w:hAnsi="Arial"/>
                <w:sz w:val="19"/>
                <w:b/>
              </w:rPr>
              <w:t xml:space="preserve">2.2 GHS Label Elements:</w:t>
            </w:r>
          </w:p>
          <w:p>
            <w:pPr>
              <w:spacing w:line="300" w:lineRule="auto"/>
            </w:pPr>
            <w:r>
              <w:rPr>
                <w:rFonts w:ascii="Arial" w:hAnsi="Arial"/>
                <w:sz w:val="19"/>
                <w:b/>
              </w:rPr>
              <w:t xml:space="preserve">GHS pictograms:</w:t>
            </w:r>
          </w:p>
          <w:p>
            <w:pPr>
              <w:jc w:val="left"/>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before="240"/>
            </w:pPr>
            <w:r>
              <w:rPr>
                <w:rFonts w:ascii="Arial" w:hAnsi="Arial"/>
                <w:sz w:val="19"/>
                <w:b/>
              </w:rPr>
              <w:t xml:space="preserve">Hazard statements:</w:t>
            </w:r>
          </w:p>
          <w:p>
            <w:pPr>
              <w:spacing w:line="300" w:lineRule="auto"/>
              <w:ind w:left="480"/>
            </w:pPr>
            <w:r>
              <w:rPr>
                <w:rFonts w:ascii="Arial" w:hAnsi="Arial"/>
                <w:sz w:val="19"/>
              </w:rPr>
              <w:t xml:space="preserve">H360 May damage fertility or the unborn child.</w:t>
            </w:r>
          </w:p>
          <w:p>
            <w:pPr>
              <w:spacing w:line="300" w:lineRule="auto" w:before="240"/>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P308+P313 IF exposed or concerned: Get medical advice/attention.</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before="240"/>
            </w:pPr>
            <w:r>
              <w:rPr>
                <w:rFonts w:ascii="Arial" w:hAnsi="Arial"/>
                <w:sz w:val="19"/>
                <w:b/>
              </w:rPr>
              <w:t xml:space="preserve">2.3 Other hazards:</w:t>
            </w:r>
            <w:r>
              <w:rPr>
                <w:rFonts w:ascii="Arial" w:hAnsi="Arial"/>
                <w:sz w:val="19"/>
              </w:rPr>
              <w:t xml:space="preserve"> Risk of cutaneous absorption of N-Methyl-2-pyrrolidone (NMP).</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26.0~29.0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59.0~63.0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N-Methyl-2-pyrrolidone (NMP)</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872-50-4</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11.0~12.0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28±2%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gridSpan w:val="4"/>
            <w:tcW w:w="9781" w:type="dxa"/>
          </w:tcPr>
          <w:p>
            <w:pPr>
              <w:spacing w:line="300" w:lineRule="auto"/>
              <w:jc w:val="left"/>
              <w:rPr>
                <w:sz w:val="19"/>
              </w:rPr>
            </w:pPr>
            <w:r>
              <w:rPr>
                <w:rFonts w:ascii="Arial" w:hAnsi="Arial" w:cs="Arial"/>
                <w:b w:val="0"/>
                <w:sz w:val="19"/>
                <w:szCs w:val="19"/>
              </w:rPr>
              <w:t xml:space="preserve">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gridSpan w:val="4"/>
            <w:tcW w:w="9781" w:type="dxa"/>
          </w:tcPr>
          <w:p>
            <w:pPr>
              <w:spacing w:line="300" w:lineRule="auto"/>
              <w:ind w:left="34" w:leftChars="16" w:right="480"/>
              <w:jc w:val="left"/>
              <w:rPr>
                <w:sz w:val="19"/>
              </w:rPr>
            </w:pPr>
            <w:r>
              <w:rPr>
                <w:rFonts w:ascii="Arial" w:hAnsi="Arial" w:cs="Arial"/>
                <w:b w:val="0"/>
                <w:sz w:val="19"/>
                <w:szCs w:val="19"/>
              </w:rPr>
              <w:t xml:space="preserve">The following are toxicological data for N-Methyl-2-pyrrolidone (NMP):</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14:paraId="6EC890C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Oral / Rat: 4,150mg/kg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14:paraId="79B94EE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LC50 / Inhalation / 1h / Rat: &gt; 5.1mg/l</w:t>
              <w:br/>
              <w:t>LC50 / Inhalation / 4h / Rat: &gt; 5.1mg/l</w:t>
            </w:r>
          </w:p>
        </w:tc>
      </w:tr>
      <w:tr w14:paraId="50E3B3C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3519" w:type="dxa"/>
            <w:vMerge w:val="continue"/>
            <w:tcBorders>
              <w:top w:val="dotted" w:color="auto" w:sz="4" w:space="0"/>
              <w:bottom w:val="dotted" w:color="auto" w:sz="4" w:space="0"/>
              <w:right w:val="dotted" w:color="auto" w:sz="4" w:space="0"/>
            </w:tcBorders>
            <w:vAlign w:val="center"/>
          </w:tcPr>
          <w:p w14:paraId="04F24C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6BB8478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Dermal:</w:t>
            </w:r>
          </w:p>
        </w:tc>
        <w:tc>
          <w:tcPr>
            <w:tcW w:w="4338" w:type="dxa"/>
            <w:gridSpan w:val="2"/>
            <w:tcBorders>
              <w:top w:val="dotted" w:color="auto" w:sz="4" w:space="0"/>
              <w:left w:val="dotted" w:color="auto" w:sz="4" w:space="0"/>
              <w:bottom w:val="dotted" w:color="auto" w:sz="4" w:space="0"/>
            </w:tcBorders>
            <w:vAlign w:val="center"/>
          </w:tcPr>
          <w:p w14:paraId="146B658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Oral / Rat: &gt; 5,000mg/kg</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skin</w:t>
            </w:r>
          </w:p>
          <w:p>
            <w:pPr>
              <w:spacing w:line="300" w:lineRule="auto"/>
              <w:rPr>
                <w:sz w:val="24"/>
              </w:rPr>
              <w:jc w:val="left"/>
            </w:pPr>
            <w:r>
              <w:rPr>
                <w:rFonts w:ascii="Arial" w:hAnsi="Arial" w:eastAsia="Arial" w:cs="Arial"/>
                <w:sz w:val="19"/>
                <w:szCs w:val="19"/>
              </w:rPr>
              <w:t xml:space="preserve">Result: Causes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eyes</w:t>
            </w:r>
          </w:p>
          <w:p>
            <w:pPr>
              <w:spacing w:line="300" w:lineRule="auto"/>
              <w:rPr>
                <w:sz w:val="24"/>
              </w:rPr>
              <w:jc w:val="left"/>
            </w:pPr>
            <w:r>
              <w:rPr>
                <w:rFonts w:ascii="Arial" w:hAnsi="Arial" w:eastAsia="Arial" w:cs="Arial"/>
                <w:sz w:val="19"/>
                <w:szCs w:val="19"/>
              </w:rPr>
              <w:t xml:space="preserve">Result: Causes serious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Mouse</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Did not cause sensitization in laboratory animals</w:t>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14:paraId="7541511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rFonts w:ascii="Arial" w:hAnsi="Arial" w:eastAsia="Arial" w:cs="Arial"/>
                <w:sz w:val="19"/>
                <w:szCs w:val="19"/>
              </w:rPr>
              <w:t>No mutagenic effects observed in bacterial or mammalian cell cultures. No mutagenic effects observed in animal studies.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14:paraId="093BEC9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lang w:val="en-US" w:eastAsia="zh-CN"/>
                <w:rFonts w:ascii="Arial" w:hAnsi="Arial" w:eastAsia="Arial" w:cs="Arial"/>
                <w:sz w:val="19"/>
                <w:szCs w:val="19"/>
              </w:rPr>
              <w:t>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1999" w:type="dxa"/>
            <w:gridSpan w:val="2"/>
            <w:tcBorders>
              <w:top w:val="dotted" w:color="auto" w:sz="4" w:space="0"/>
              <w:left w:val="dotted" w:color="auto" w:sz="4" w:space="0"/>
              <w:bottom w:val="dotted" w:color="auto" w:sz="4" w:space="0"/>
              <w:right w:val="dotted" w:color="auto" w:sz="4" w:space="0"/>
            </w:tcBorders>
            <w:vAlign w:val="center"/>
          </w:tcPr>
          <w:p w14:paraId="3863229A">
            <w:pPr>
              <w:keepNext w:val="0"/>
              <w:keepLines w:val="0"/>
              <w:pageBreakBefore w:val="0"/>
              <w:widowControl w:val="0"/>
              <w:kinsoku/>
              <w:wordWrap/>
              <w:overflowPunct/>
              <w:topLinePunct w:val="0"/>
              <w:autoSpaceDE/>
              <w:autoSpaceDN/>
              <w:bidi w:val="0"/>
              <w:adjustRightInd/>
              <w:snapToGrid/>
              <w:textAlignment w:val="auto"/>
              <w:rPr>
                <w:rFonts w:hint="eastAsia" w:hAnsi="Arial" w:eastAsia="宋体"/>
                <w:b/>
                <w:bCs/>
                <w:sz w:val="24"/>
                <w:lang w:val="en-US" w:eastAsia="zh-CN"/>
              </w:rPr>
              <w:jc w:val="left"/>
            </w:pPr>
            <w:r>
              <w:rPr>
                <w:rFonts w:ascii="Arial" w:hAnsi="Arial" w:eastAsia="Arial" w:cs="Arial"/>
                <w:b/>
                <w:sz w:val="19"/>
                <w:szCs w:val="19"/>
              </w:rPr>
              <w:t xml:space="preserve">Fertility:</w:t>
            </w:r>
          </w:p>
        </w:tc>
        <w:tc>
          <w:tcPr>
            <w:tcW w:w="4263" w:type="dxa"/>
            <w:tcBorders>
              <w:top w:val="dotted" w:color="auto" w:sz="4" w:space="0"/>
              <w:left w:val="dotted" w:color="auto" w:sz="4" w:space="0"/>
              <w:bottom w:val="dotted" w:color="auto" w:sz="4" w:space="0"/>
            </w:tcBorders>
            <w:vAlign w:val="center"/>
          </w:tcPr>
          <w:p w14:paraId="696E91D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sz w:val="24"/>
                <w:szCs w:val="24"/>
                <w:lang w:val="en-US" w:eastAsia="zh-CN"/>
              </w:rPr>
              <w:jc w:val="left"/>
            </w:pPr>
            <w:r>
              <w:rPr>
                <w:bCs w:val="0"/>
                <w:lang w:val="en-US" w:eastAsia="zh-CN"/>
                <w:rFonts w:ascii="Arial" w:hAnsi="Arial" w:eastAsia="Arial" w:cs="Arial"/>
                <w:sz w:val="19"/>
                <w:szCs w:val="19"/>
              </w:rPr>
              <w:t>Animal experiments showed risks of impaired fertility only at high doses.</w:t>
            </w:r>
          </w:p>
        </w:tc>
      </w:tr>
      <w:tr w14:paraId="711777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237CBC02">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99" w:type="dxa"/>
            <w:gridSpan w:val="2"/>
            <w:tcBorders>
              <w:top w:val="dotted" w:color="auto" w:sz="4" w:space="0"/>
              <w:left w:val="dotted" w:color="auto" w:sz="4" w:space="0"/>
              <w:bottom w:val="dotted" w:color="auto" w:sz="4" w:space="0"/>
              <w:right w:val="dotted" w:color="auto" w:sz="4" w:space="0"/>
            </w:tcBorders>
            <w:vAlign w:val="center"/>
          </w:tcPr>
          <w:p w14:paraId="61059801">
            <w:pPr>
              <w:keepNext w:val="0"/>
              <w:keepLines w:val="0"/>
              <w:pageBreakBefore w:val="0"/>
              <w:widowControl w:val="0"/>
              <w:kinsoku/>
              <w:wordWrap/>
              <w:overflowPunct/>
              <w:topLinePunct w:val="0"/>
              <w:autoSpaceDE/>
              <w:autoSpaceDN/>
              <w:bidi w:val="0"/>
              <w:adjustRightInd/>
              <w:snapToGrid/>
              <w:ind w:left="960" w:hanging="964" w:hangingChars="400"/>
              <w:jc w:val="left"/>
              <w:textAlignment w:val="auto"/>
              <w:rPr>
                <w:rFonts w:hint="eastAsia" w:ascii="宋体" w:hAnsi="宋体" w:eastAsia="宋体" w:cs="宋体"/>
                <w:b/>
                <w:bCs/>
                <w:sz w:val="24"/>
                <w:szCs w:val="24"/>
                <w:lang w:eastAsia="zh-CN"/>
              </w:rPr>
            </w:pPr>
            <w:r>
              <w:rPr>
                <w:rFonts w:hint="eastAsia" w:hAnsi="Arial"/>
                <w:b/>
                <w:sz w:val="24"/>
              </w:rPr>
              <w:t>Teratogenicity</w:t>
            </w:r>
            <w:r>
              <w:rPr>
                <w:rFonts w:hint="eastAsia" w:hAnsi="Arial"/>
                <w:b/>
                <w:sz w:val="24"/>
                <w:lang w:eastAsia="zh-CN"/>
              </w:rPr>
              <w:t>:</w:t>
            </w:r>
          </w:p>
        </w:tc>
        <w:tc>
          <w:tcPr>
            <w:tcW w:w="4263" w:type="dxa"/>
            <w:tcBorders>
              <w:top w:val="dotted" w:color="auto" w:sz="4" w:space="0"/>
              <w:left w:val="dotted" w:color="auto" w:sz="4" w:space="0"/>
              <w:bottom w:val="dotted" w:color="auto" w:sz="4" w:space="0"/>
            </w:tcBorders>
            <w:vAlign w:val="center"/>
          </w:tcPr>
          <w:p w14:paraId="61696E4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sz w:val="24"/>
                <w:szCs w:val="24"/>
                <w:lang w:val="en-US" w:eastAsia="zh-CN"/>
              </w:rPr>
              <w:jc w:val="left"/>
            </w:pPr>
            <w:r>
              <w:rPr>
                <w:bCs w:val="0"/>
                <w:lang w:val="en-US" w:eastAsia="zh-CN"/>
                <w:rFonts w:ascii="Arial" w:hAnsi="Arial" w:eastAsia="Arial" w:cs="Arial"/>
                <w:sz w:val="19"/>
                <w:szCs w:val="19"/>
              </w:rPr>
              <w:t>Animal experiments showed teratogenic effects. May damage the unborn child.</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(single/repeated exposure):</w:t>
            </w:r>
          </w:p>
        </w:tc>
        <w:tc>
          <w:tcPr>
            <w:tcW w:w="6262" w:type="dxa"/>
            <w:gridSpan w:val="3"/>
            <w:tcBorders>
              <w:top w:val="dotted" w:color="auto" w:sz="4" w:space="0"/>
              <w:left w:val="dotted" w:color="auto" w:sz="4" w:space="0"/>
              <w:bottom w:val="dotted" w:color="auto" w:sz="4" w:space="0"/>
            </w:tcBorders>
            <w:vAlign w:val="center"/>
          </w:tcPr>
          <w:p w14:paraId="5D0C0A1B">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May cause respiratory irritation.</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14:paraId="59099FE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pPr>
              <w:spacing w:line="300" w:lineRule="auto"/>
              <w:rPr>
                <w:sz w:val="24"/>
              </w:rPr>
              <w:jc w:val="left"/>
            </w:pPr>
            <w:r>
              <w:rPr>
                <w:rFonts w:ascii="Arial" w:hAnsi="Arial" w:eastAsia="Arial" w:cs="Arial"/>
                <w:sz w:val="19"/>
                <w:szCs w:val="19"/>
              </w:rPr>
              <w:t xml:space="preserve">Risk of cutaneous absorption of N-Methyl-2-pyrrolidone (NMP).</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The following are ecotoxicological data for N-Methyl-2-pyrrolidone (NMP):</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Oncorhynchus mykiss (rainbow trout): 500mg/l</w:t>
              <w:br/>
              <w:t>Other:</w:t>
              <w:br/>
              <w:t>EC50 / 72 h / Algae: ＞500mg/l</w:t>
              <w:br/>
              <w:t>EC50 / 24 h / Daphnia magna: ＞1,000mg/l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Biodegradability: 73 %, 28 d, readily biodegradable.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jc w:val="left"/>
          </w:pPr>
          <w:r>
            <w:rPr>
              <w:rFonts w:hint="eastAsia"/>
              <w:kern w:val="0"/>
              <w:sz w:val="21"/>
              <w:szCs w:val="21"/>
            </w:rPr>
            <w:t>Yingde Guocai New Material Co., Ltd. PU-202B-MSDS</w:t>
          </w:r>
        </w:p>
      </w:tc>
      <w:tc>
        <w:tcPr>
          <w:tcW w:w="4984" w:type="dxa"/>
        </w:tcPr>
        <w:p w14:paraId="32B3FF4C">
          <w:pPr>
            <w:ind w:firstLine="8730" w:firstLineChars="4850"/>
            <w:jc w:val="right"/>
            <w:rPr>
              <w:kern w:val="0"/>
              <w:sz w:val="20"/>
            </w:rPr>
            <w:jc w:val="right"/>
            <w:jc w:val="right"/>
          </w:pPr>
          <w:r>
            <w:rPr>
              <w:rFonts w:ascii="Arial" w:eastAsia="楷体_GB2312"/>
              <w:color w:val="7F7F7F"/>
              <w:kern w:val="0"/>
              <w:sz w:val="18"/>
              <w:szCs w:val="18"/>
            </w:rPr>
            <w:t>Revision Date: 2026/10/30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PU-202B</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331318666_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