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vAlign w:val="center"/>
            <w:tcBorders>
              <w:top w:val="dotted" w:color="auto" w:sz="4" w:space="0"/>
              <w:bottom w:val="dotted" w:color="auto" w:sz="4" w:space="0"/>
              <w:right w:val="dotted" w:color="auto" w:sz="4" w:space="0"/>
            </w:tcBorders>
          </w:tcPr>
          <w:p>
            <w:pPr>
              <w:jc w:val="left"/>
              <w:spacing w:line="300" w:lineRule="auto"/>
            </w:pPr>
            <w:r>
              <w:rPr>
                <w:rFonts w:ascii="Arial" w:hAnsi="Arial"/>
                <w:sz w:val="19"/>
              </w:rPr>
              <w:t xml:space="preserve">No toxicological studies are available on the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vAlign w:val="center"/>
            <w:tcBorders>
              <w:top w:val="dotted" w:color="auto" w:sz="4" w:space="0"/>
              <w:bottom w:val="dotted" w:color="auto" w:sz="4" w:space="0"/>
              <w:right w:val="dotted" w:color="auto" w:sz="4" w:space="0"/>
            </w:tcBorders>
          </w:tcPr>
          <w:p>
            <w:pPr>
              <w:jc w:val="left"/>
              <w:spacing w:line="300" w:lineRule="auto"/>
              <w:ind w:left="34"/>
            </w:pPr>
            <w:r>
              <w:rPr>
                <w:rFonts w:ascii="Arial" w:hAnsi="Arial"/>
                <w:sz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vAlign w:val="center"/>
            <w:tcBorders>
              <w:top w:val="dotted" w:color="auto" w:sz="4" w:space="0"/>
              <w:bottom w:val="dotted" w:color="auto" w:sz="4" w:space="0"/>
              <w:right w:val="dotted" w:color="auto" w:sz="4" w:space="0"/>
            </w:tcBorders>
          </w:tcPr>
          <w:p>
            <w:pPr>
              <w:jc w:val="left"/>
              <w:spacing w:line="300" w:lineRule="auto"/>
              <w:ind w:left="34"/>
            </w:pPr>
            <w:r>
              <w:rPr>
                <w:rFonts w:ascii="Arial" w:hAnsi="Arial"/>
                <w:sz w:val="19"/>
                <w:b/>
              </w:rPr>
              <w:t xml:space="preserve">N,N-Dimethylacetamide:</w:t>
            </w:r>
            <w:r>
              <w:rPr>
                <w:rFonts w:ascii="Arial" w:hAnsi="Arial"/>
                <w:sz w:val="19"/>
              </w:rPr>
              <w:br w:type="textWrapping"/>
            </w:r>
            <w:r>
              <w:rPr>
                <w:rFonts w:ascii="Arial" w:hAnsi="Arial"/>
                <w:sz w:val="19"/>
              </w:rPr>
              <w:t xml:space="preserve">Acute toxicity:</w:t>
            </w:r>
            <w:r>
              <w:rPr>
                <w:rFonts w:ascii="Arial" w:hAnsi="Arial"/>
                <w:sz w:val="19"/>
              </w:rPr>
              <w:br w:type="textWrapping"/>
            </w:r>
            <w:r>
              <w:rPr>
                <w:rFonts w:ascii="Arial" w:hAnsi="Arial"/>
                <w:sz w:val="19"/>
              </w:rPr>
              <w:t xml:space="preserve">Oral: Median lethal dose (LD50) / rat: 3,000 - 6,000 mg/kg;</w:t>
            </w:r>
            <w:r>
              <w:rPr>
                <w:rFonts w:ascii="Arial" w:hAnsi="Arial"/>
                <w:sz w:val="19"/>
              </w:rPr>
              <w:br w:type="textWrapping"/>
            </w:r>
            <w:r>
              <w:rPr>
                <w:rFonts w:ascii="Arial" w:hAnsi="Arial"/>
                <w:sz w:val="19"/>
              </w:rPr>
              <w:t xml:space="preserve">Inhalation: Median lethal concentration (LC50) / 1h / rat female: 8.81 mg/l (This value is only for cases where inhalable particles are formed);</w:t>
            </w:r>
            <w:r>
              <w:rPr>
                <w:rFonts w:ascii="Arial" w:hAnsi="Arial"/>
                <w:sz w:val="19"/>
              </w:rPr>
              <w:br w:type="textWrapping"/>
            </w:r>
            <w:r>
              <w:rPr>
                <w:rFonts w:ascii="Arial" w:hAnsi="Arial"/>
                <w:sz w:val="19"/>
              </w:rPr>
              <w:t xml:space="preserve">Primary skin irritation: Species: rabbit; Classification: skin irritation; Result: mild skin irritation;</w:t>
            </w:r>
            <w:r>
              <w:rPr>
                <w:rFonts w:ascii="Arial" w:hAnsi="Arial"/>
                <w:sz w:val="19"/>
              </w:rPr>
              <w:br w:type="textWrapping"/>
            </w:r>
            <w:r>
              <w:rPr>
                <w:rFonts w:ascii="Arial" w:hAnsi="Arial"/>
                <w:sz w:val="19"/>
              </w:rPr>
              <w:t xml:space="preserve">Primary mucous membrane irritation: Species: rabbit; Classification: eye irritation; Result: mild eye irritation;</w:t>
            </w:r>
            <w:r>
              <w:rPr>
                <w:rFonts w:ascii="Arial" w:hAnsi="Arial"/>
                <w:sz w:val="19"/>
              </w:rPr>
              <w:br w:type="textWrapping"/>
            </w:r>
            <w:r>
              <w:rPr>
                <w:rFonts w:ascii="Arial" w:hAnsi="Arial"/>
                <w:sz w:val="19"/>
              </w:rPr>
              <w:t xml:space="preserve">Sensitization: Species: guinea pig; Classification: not a skin sensitizer; Result: did not cause sensitization in laboratory animals; Species: human; Classification: not a skin sensitizer; Result: skin contact tests on volunteers demonstrated no sensitizing properties;</w:t>
            </w:r>
            <w:r>
              <w:rPr>
                <w:rFonts w:ascii="Arial" w:hAnsi="Arial"/>
                <w:sz w:val="19"/>
              </w:rPr>
              <w:br w:type="textWrapping"/>
            </w:r>
            <w:r>
              <w:rPr>
                <w:rFonts w:ascii="Arial" w:hAnsi="Arial"/>
                <w:sz w:val="19"/>
              </w:rPr>
              <w:t xml:space="preserve">Mutagenicity: Did not cause genetic damage in bacterial cell cultures. Did not cause genetic damage in mammalian cell cultures. Evidence indicates this substance does not cause genetic damage in animals;</w:t>
            </w:r>
            <w:r>
              <w:rPr>
                <w:rFonts w:ascii="Arial" w:hAnsi="Arial"/>
                <w:sz w:val="19"/>
              </w:rPr>
              <w:br w:type="textWrapping"/>
            </w:r>
            <w:r>
              <w:rPr>
                <w:rFonts w:ascii="Arial" w:hAnsi="Arial"/>
                <w:sz w:val="19"/>
              </w:rPr>
              <w:t xml:space="preserve">Carcinogenicity: No carcinogenic effects observed in animal studies;</w:t>
            </w:r>
            <w:r>
              <w:rPr>
                <w:rFonts w:ascii="Arial" w:hAnsi="Arial"/>
                <w:sz w:val="19"/>
              </w:rPr>
              <w:br w:type="textWrapping"/>
            </w:r>
            <w:r>
              <w:rPr>
                <w:rFonts w:ascii="Arial" w:hAnsi="Arial"/>
                <w:sz w:val="19"/>
              </w:rPr>
              <w:t xml:space="preserve">Reproductive toxicity: Animal studies show no reproductive toxicity. Animal studies indicate effects on embryos at doses below those causing maternal toxicity. Decreased embryo-fetal viability, retarded fetal development (variations), fetal malformations;</w:t>
            </w:r>
            <w:r>
              <w:rPr>
                <w:rFonts w:ascii="Arial" w:hAnsi="Arial"/>
                <w:sz w:val="19"/>
              </w:rPr>
              <w:br w:type="textWrapping"/>
            </w:r>
            <w:r>
              <w:rPr>
                <w:rFonts w:ascii="Arial" w:hAnsi="Arial"/>
                <w:sz w:val="19"/>
              </w:rPr>
              <w:t xml:space="preserve">Specific target organ toxicity (single / repeated exposure): No data available;</w:t>
            </w:r>
            <w:r>
              <w:rPr>
                <w:rFonts w:ascii="Arial" w:hAnsi="Arial"/>
                <w:sz w:val="19"/>
              </w:rPr>
              <w:br w:type="textWrapping"/>
            </w:r>
            <w:r>
              <w:rPr>
                <w:rFonts w:ascii="Arial" w:hAnsi="Arial"/>
                <w:sz w:val="19"/>
              </w:rPr>
              <w:t xml:space="preserve">Aspiration hazard: No data available;</w:t>
            </w:r>
            <w:r>
              <w:rPr>
                <w:rFonts w:ascii="Arial" w:hAnsi="Arial"/>
                <w:sz w:val="19"/>
              </w:rPr>
              <w:br w:type="textWrapping"/>
            </w:r>
            <w:r>
              <w:rPr>
                <w:rFonts w:ascii="Arial" w:hAnsi="Arial"/>
                <w:sz w:val="19"/>
              </w:rPr>
              <w:t xml:space="preserve">Additional information: Consumption of alcoholic beverages may aggravate toxic effects;</w:t>
            </w:r>
            <w:r>
              <w:rPr>
                <w:rFonts w:ascii="Arial" w:hAnsi="Arial"/>
                <w:sz w:val="19"/>
              </w:rPr>
              <w:br w:type="textWrapping"/>
            </w:r>
            <w:r>
              <w:rPr>
                <w:rFonts w:ascii="Arial" w:hAnsi="Arial"/>
                <w:sz w:val="19"/>
              </w:rPr>
              <w:t xml:space="preserve">Repeated dose toxicity: Oral; Pathological changes: stomach, testes, liver, kidney, abnormal decrease in red blood cells;</w:t>
            </w:r>
            <w:r>
              <w:rPr>
                <w:rFonts w:ascii="Arial" w:hAnsi="Arial"/>
                <w:sz w:val="19"/>
              </w:rPr>
              <w:br w:type="textWrapping"/>
            </w:r>
            <w:r>
              <w:rPr>
                <w:rFonts w:ascii="Arial" w:hAnsi="Arial"/>
                <w:sz w:val="19"/>
              </w:rPr>
              <w:t xml:space="preserve">Repeated dose toxicity: Inhalation; 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PU-202A-MSDS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41586770_0.png"/><Relationship Id="rId32" Type="http://schemas.openxmlformats.org/officeDocument/2006/relationships/image" Target="media/image_ghs_1793241586771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