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09DD3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1DE081F0">
            <w:pPr>
              <w:spacing w:line="300" w:lineRule="auto"/>
              <w:ind w:right="480" w:firstLine="118" w:firstLineChars="4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v</w:t>
            </w: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0160C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402" w:type="dxa"/>
            <w:tcBorders>
              <w:bottom w:val="nil"/>
              <w:right w:val="nil"/>
            </w:tcBorders>
          </w:tcPr>
          <w:p w14:paraId="1BDFBDB9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379" w:type="dxa"/>
            <w:tcBorders>
              <w:left w:val="nil"/>
              <w:bottom w:val="nil"/>
            </w:tcBorders>
            <w:vAlign w:val="center"/>
          </w:tcPr>
          <w:p w14:paraId="07F58AAE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PU-1107</w:t>
            </w:r>
          </w:p>
        </w:tc>
      </w:tr>
      <w:tr w14:paraId="75C1F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1AB260B6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8D6D83F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水性</w:t>
            </w:r>
            <w:r>
              <w:rPr>
                <w:rFonts w:hint="eastAsia" w:hAnsi="Arial"/>
                <w:sz w:val="24"/>
                <w:lang w:val="en-US" w:eastAsia="zh-CN"/>
              </w:rPr>
              <w:t>聚氨酯分散体</w:t>
            </w:r>
          </w:p>
        </w:tc>
      </w:tr>
      <w:tr w14:paraId="4D18B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BC8D873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2BF67F19"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聚氨酯</w:t>
            </w:r>
          </w:p>
        </w:tc>
      </w:tr>
      <w:tr w14:paraId="6C3B6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1F7775F"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628B2A61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</w:t>
            </w:r>
          </w:p>
        </w:tc>
      </w:tr>
      <w:tr w14:paraId="2097C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0F314B1F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0562F30">
            <w:pPr>
              <w:spacing w:line="300" w:lineRule="auto"/>
              <w:rPr>
                <w:sz w:val="24"/>
              </w:rPr>
            </w:pPr>
          </w:p>
        </w:tc>
      </w:tr>
      <w:tr w14:paraId="24169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E1F4B23"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157A03DD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4CED7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5BE68F3"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18DE5E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610E3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F534643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8AB79F0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14:paraId="34C5B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620D5CB2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37E62912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60225275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648B4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 w14:paraId="1D0EB656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 w14:paraId="41380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781" w:type="dxa"/>
          </w:tcPr>
          <w:p w14:paraId="542135A0">
            <w:pPr>
              <w:pStyle w:val="10"/>
              <w:autoSpaceDE w:val="0"/>
              <w:autoSpaceDN w:val="0"/>
              <w:adjustRightInd w:val="0"/>
              <w:spacing w:line="300" w:lineRule="auto"/>
              <w:ind w:left="420" w:firstLine="0" w:firstLineChars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</w:p>
          <w:p w14:paraId="54E1B696">
            <w:pPr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</w:rPr>
              <w:t>分类：</w:t>
            </w:r>
          </w:p>
          <w:p w14:paraId="1FF0AB36">
            <w:pPr>
              <w:spacing w:line="300" w:lineRule="auto"/>
              <w:ind w:left="458" w:leftChars="218"/>
              <w:rPr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sz w:val="24"/>
              </w:rPr>
              <w:t>GHS</w:t>
            </w:r>
            <w:r>
              <w:rPr>
                <w:rFonts w:hint="eastAsia"/>
                <w:sz w:val="24"/>
              </w:rPr>
              <w:t>不属于危险物</w:t>
            </w:r>
          </w:p>
          <w:p w14:paraId="43EF55CA">
            <w:pPr>
              <w:spacing w:line="300" w:lineRule="auto"/>
              <w:ind w:left="458" w:leftChars="218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象形图：</w:t>
            </w:r>
          </w:p>
          <w:p w14:paraId="4FF0C010">
            <w:pPr>
              <w:spacing w:line="300" w:lineRule="auto"/>
              <w:ind w:left="458" w:leftChars="218"/>
              <w:rPr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sz w:val="24"/>
              </w:rPr>
              <w:t>GHS</w:t>
            </w:r>
            <w:r>
              <w:rPr>
                <w:rFonts w:hint="eastAsia"/>
                <w:sz w:val="24"/>
              </w:rPr>
              <w:t>不属于危险物</w:t>
            </w:r>
          </w:p>
        </w:tc>
      </w:tr>
    </w:tbl>
    <w:p w14:paraId="362B2B59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8"/>
        <w:gridCol w:w="2844"/>
        <w:gridCol w:w="3109"/>
      </w:tblGrid>
      <w:tr w14:paraId="1AFB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2B5A2B33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C413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828" w:type="dxa"/>
            <w:tcBorders>
              <w:bottom w:val="nil"/>
              <w:right w:val="nil"/>
            </w:tcBorders>
          </w:tcPr>
          <w:p w14:paraId="743D8959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5953" w:type="dxa"/>
            <w:gridSpan w:val="2"/>
            <w:tcBorders>
              <w:left w:val="nil"/>
              <w:bottom w:val="nil"/>
            </w:tcBorders>
          </w:tcPr>
          <w:p w14:paraId="21448985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034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828" w:type="dxa"/>
            <w:tcBorders>
              <w:top w:val="nil"/>
              <w:bottom w:val="nil"/>
              <w:right w:val="nil"/>
            </w:tcBorders>
          </w:tcPr>
          <w:p w14:paraId="66E82124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2844" w:type="dxa"/>
            <w:tcBorders>
              <w:top w:val="nil"/>
              <w:left w:val="nil"/>
              <w:bottom w:val="nil"/>
              <w:right w:val="nil"/>
            </w:tcBorders>
          </w:tcPr>
          <w:p w14:paraId="3D338C39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422E1E07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10FD8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828" w:type="dxa"/>
            <w:tcBorders>
              <w:top w:val="nil"/>
              <w:bottom w:val="nil"/>
              <w:right w:val="nil"/>
            </w:tcBorders>
          </w:tcPr>
          <w:p w14:paraId="7C311B0C">
            <w:pPr>
              <w:spacing w:line="300" w:lineRule="auto"/>
              <w:ind w:left="459" w:right="34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2844" w:type="dxa"/>
            <w:tcBorders>
              <w:top w:val="nil"/>
              <w:left w:val="nil"/>
              <w:bottom w:val="nil"/>
              <w:right w:val="nil"/>
            </w:tcBorders>
          </w:tcPr>
          <w:p w14:paraId="00C52883">
            <w:pPr>
              <w:spacing w:line="300" w:lineRule="auto"/>
              <w:ind w:right="480" w:firstLine="480" w:firstLineChars="200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7705B355">
            <w:pPr>
              <w:spacing w:line="300" w:lineRule="auto"/>
              <w:ind w:right="480"/>
              <w:jc w:val="center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3BE4C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828" w:type="dxa"/>
            <w:tcBorders>
              <w:top w:val="nil"/>
              <w:bottom w:val="single" w:color="auto" w:sz="4" w:space="0"/>
              <w:right w:val="nil"/>
            </w:tcBorders>
          </w:tcPr>
          <w:p w14:paraId="6B0066BC">
            <w:pPr>
              <w:spacing w:line="300" w:lineRule="auto"/>
              <w:ind w:right="480"/>
              <w:jc w:val="left"/>
              <w:rPr>
                <w:rFonts w:hint="default" w:hAnsi="Arial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聚氨酯聚合物</w:t>
            </w:r>
          </w:p>
          <w:p w14:paraId="3BA63B61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水</w:t>
            </w:r>
          </w:p>
          <w:p w14:paraId="15B5DA9B">
            <w:pPr>
              <w:spacing w:line="300" w:lineRule="auto"/>
              <w:ind w:right="480"/>
              <w:jc w:val="lef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三乙胺</w:t>
            </w:r>
          </w:p>
        </w:tc>
        <w:tc>
          <w:tcPr>
            <w:tcW w:w="284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0B23AAB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  <w:p w14:paraId="51AD6FA4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sz w:val="24"/>
              </w:rPr>
              <w:t>7732-18-5</w:t>
            </w:r>
          </w:p>
          <w:p w14:paraId="4E45551F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121-44-8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5F489469">
            <w:pPr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25-35</w:t>
            </w:r>
          </w:p>
          <w:p w14:paraId="564E6227">
            <w:pPr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65-75</w:t>
            </w:r>
          </w:p>
          <w:p w14:paraId="19FA6E63">
            <w:pPr>
              <w:spacing w:line="300" w:lineRule="auto"/>
              <w:ind w:right="48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0.5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</w:p>
        </w:tc>
      </w:tr>
    </w:tbl>
    <w:p w14:paraId="50DCC917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676"/>
      </w:tblGrid>
      <w:tr w14:paraId="64C5C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CA496E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03866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 w14:paraId="3586C6FF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 w14:paraId="7EC64EE8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 w14:paraId="7834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4BF15402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4B6497E0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禁止催吐，须就医。</w:t>
            </w:r>
          </w:p>
        </w:tc>
      </w:tr>
      <w:tr w14:paraId="04CE3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 w14:paraId="19B7339E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 w14:paraId="75B4176D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撑开眼睑，用温水长时间冲洗（至少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分钟），就诊眼科医生。</w:t>
            </w:r>
          </w:p>
        </w:tc>
      </w:tr>
      <w:tr w14:paraId="516E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 w14:paraId="40FB1EAD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 w14:paraId="44852B2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</w:t>
            </w:r>
          </w:p>
        </w:tc>
      </w:tr>
      <w:tr w14:paraId="505CB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 w14:paraId="7855F7CC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 w14:paraId="391C54A9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若刺激呼吸道，就医。</w:t>
            </w:r>
          </w:p>
        </w:tc>
      </w:tr>
    </w:tbl>
    <w:p w14:paraId="41805E5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63252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9ED604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3E844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 w14:paraId="43A3EB29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 w14:paraId="59844A0F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），泡沫，灭火粉末，大火时应用喷洒水</w:t>
            </w:r>
          </w:p>
        </w:tc>
      </w:tr>
      <w:tr w14:paraId="46C86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402" w:type="dxa"/>
          </w:tcPr>
          <w:p w14:paraId="0EDAC85A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379" w:type="dxa"/>
          </w:tcPr>
          <w:p w14:paraId="0C3216E8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</w:p>
        </w:tc>
      </w:tr>
      <w:tr w14:paraId="32FE4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</w:tcPr>
          <w:p w14:paraId="58BFD838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379" w:type="dxa"/>
          </w:tcPr>
          <w:p w14:paraId="1FBAE842">
            <w:pPr>
              <w:spacing w:line="300" w:lineRule="auto"/>
              <w:ind w:left="34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燃烧时释放一氧化碳、二氧化碳、氮氧化物和少量的氰化氢</w:t>
            </w:r>
          </w:p>
        </w:tc>
      </w:tr>
      <w:tr w14:paraId="77525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402" w:type="dxa"/>
          </w:tcPr>
          <w:p w14:paraId="1C3DB3A5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</w:tcPr>
          <w:p w14:paraId="2A7E1E05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2EFEE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7E9FCE2A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0E9C0D82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17584DEA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589C4642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3FEE5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DA954D2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5B5C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360" w:type="dxa"/>
            <w:tcBorders>
              <w:top w:val="single" w:color="auto" w:sz="4" w:space="0"/>
            </w:tcBorders>
          </w:tcPr>
          <w:p w14:paraId="26F867CE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421" w:type="dxa"/>
            <w:tcBorders>
              <w:top w:val="single" w:color="auto" w:sz="4" w:space="0"/>
            </w:tcBorders>
          </w:tcPr>
          <w:p w14:paraId="14621FB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</w:t>
            </w:r>
          </w:p>
          <w:p w14:paraId="7458E5D7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排气。令未授权人员离开。</w:t>
            </w:r>
          </w:p>
        </w:tc>
      </w:tr>
      <w:tr w14:paraId="4DE38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</w:tcPr>
          <w:p w14:paraId="73FB7432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421" w:type="dxa"/>
          </w:tcPr>
          <w:p w14:paraId="21B4DE8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14:paraId="259C8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  <w:tcBorders>
              <w:bottom w:val="single" w:color="auto" w:sz="4" w:space="0"/>
            </w:tcBorders>
          </w:tcPr>
          <w:p w14:paraId="1C6B2166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421" w:type="dxa"/>
            <w:tcBorders>
              <w:bottom w:val="single" w:color="auto" w:sz="4" w:space="0"/>
            </w:tcBorders>
          </w:tcPr>
          <w:p w14:paraId="0E1D772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26DEBF9E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52F93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058598D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647E6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360" w:type="dxa"/>
            <w:tcBorders>
              <w:top w:val="single" w:color="auto" w:sz="4" w:space="0"/>
              <w:bottom w:val="nil"/>
              <w:right w:val="nil"/>
            </w:tcBorders>
          </w:tcPr>
          <w:p w14:paraId="22859E57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nil"/>
            </w:tcBorders>
          </w:tcPr>
          <w:p w14:paraId="63B4BE2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操作时遵守化学品的常见预防措施。避免与皮肤和眼睛接触。</w:t>
            </w:r>
          </w:p>
          <w:p w14:paraId="599FE75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远离食物、饮料和烟草。休息以前和工作结束时洗手。将工作服单独存放。</w:t>
            </w:r>
          </w:p>
          <w:p w14:paraId="54D212E8"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更换被污染或浸湿的衣物</w:t>
            </w:r>
          </w:p>
        </w:tc>
      </w:tr>
      <w:tr w14:paraId="023A3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360" w:type="dxa"/>
            <w:tcBorders>
              <w:top w:val="nil"/>
              <w:bottom w:val="single" w:color="auto" w:sz="4" w:space="0"/>
            </w:tcBorders>
          </w:tcPr>
          <w:p w14:paraId="101E9D28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421" w:type="dxa"/>
            <w:tcBorders>
              <w:top w:val="nil"/>
              <w:bottom w:val="single" w:color="auto" w:sz="4" w:space="0"/>
            </w:tcBorders>
          </w:tcPr>
          <w:p w14:paraId="2EBBE4E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容器保持紧闭，存储在干燥通风处。为保持产品质量，必须遵守我们产品信息表的储存条件。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641FBCFA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500"/>
      </w:tblGrid>
      <w:tr w14:paraId="2DFE5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5B7C296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1C49C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650F681F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控制参数</w:t>
            </w:r>
          </w:p>
        </w:tc>
      </w:tr>
      <w:tr w14:paraId="1DE37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 w14:paraId="4C4AD44B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根据</w:t>
            </w:r>
            <w:r>
              <w:rPr>
                <w:b/>
                <w:sz w:val="24"/>
              </w:rPr>
              <w:t>EC</w:t>
            </w:r>
            <w:r>
              <w:rPr>
                <w:rFonts w:hint="eastAsia"/>
                <w:b/>
                <w:sz w:val="24"/>
              </w:rPr>
              <w:t>指令</w:t>
            </w:r>
            <w:r>
              <w:rPr>
                <w:b/>
                <w:sz w:val="24"/>
              </w:rPr>
              <w:t>2006/121/EG,</w:t>
            </w:r>
            <w:r>
              <w:rPr>
                <w:rFonts w:hint="eastAsia"/>
                <w:b/>
                <w:sz w:val="24"/>
              </w:rPr>
              <w:t>无可用的接触限值信息</w:t>
            </w:r>
          </w:p>
        </w:tc>
      </w:tr>
      <w:tr w14:paraId="2D619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62B4CDA7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63E6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5032A8F6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3A74C5EF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58EF4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0D568FEC"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</w:tr>
      <w:tr w14:paraId="27003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588002C9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  <w:vAlign w:val="center"/>
          </w:tcPr>
          <w:p w14:paraId="7F24C7A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608E0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4446708C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CB71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2B93078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44542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19F54FE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54C46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39136B0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292643F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29CAB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2D591BCD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18A2BAC1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戴眼罩</w:t>
            </w:r>
            <w:r>
              <w:rPr>
                <w:rFonts w:cs="Arial"/>
                <w:kern w:val="0"/>
                <w:sz w:val="24"/>
              </w:rPr>
              <w:t>/</w:t>
            </w:r>
            <w:r>
              <w:rPr>
                <w:rFonts w:hint="eastAsia" w:hAnsi="Arial" w:cs="Arial"/>
                <w:kern w:val="0"/>
                <w:sz w:val="24"/>
              </w:rPr>
              <w:t>面罩。</w:t>
            </w:r>
          </w:p>
        </w:tc>
      </w:tr>
      <w:tr w14:paraId="6F38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single" w:color="auto" w:sz="4" w:space="0"/>
              <w:right w:val="nil"/>
            </w:tcBorders>
          </w:tcPr>
          <w:p w14:paraId="1350D9C2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500" w:type="dxa"/>
            <w:tcBorders>
              <w:top w:val="nil"/>
              <w:left w:val="nil"/>
              <w:bottom w:val="single" w:color="auto" w:sz="4" w:space="0"/>
            </w:tcBorders>
          </w:tcPr>
          <w:p w14:paraId="154D5519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78A3304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5B773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560681B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0E63D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523A6A1E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 w14:paraId="717C8AC4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透明至半透明</w:t>
            </w:r>
            <w:r>
              <w:rPr>
                <w:rFonts w:hint="eastAsia"/>
                <w:sz w:val="24"/>
              </w:rPr>
              <w:t>液体</w:t>
            </w:r>
          </w:p>
        </w:tc>
      </w:tr>
      <w:tr w14:paraId="5FCF5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0798773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1D359416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3F2F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2CB3F39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78F14AB5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  <w:r>
              <w:rPr>
                <w:sz w:val="24"/>
              </w:rPr>
              <w:t xml:space="preserve">                                   </w:t>
            </w:r>
          </w:p>
        </w:tc>
      </w:tr>
      <w:tr w14:paraId="060AE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A18F19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B07FDBE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 w14:paraId="677DA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281A3A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2EF03451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1DA4C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F00A97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5961CB6">
            <w:pPr>
              <w:spacing w:line="300" w:lineRule="auto"/>
              <w:ind w:right="34" w:rightChars="16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初沸点以下无闪点</w:t>
            </w:r>
          </w:p>
        </w:tc>
      </w:tr>
      <w:tr w14:paraId="0D81C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7291F9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2A9F5E90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FE50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DE05959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9C8938A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7E65C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C27499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F6072A5"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2DB46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08B351C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91DC17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8F1C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73482A7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47681EF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14:paraId="71444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087DAF2A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2FD3AC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 w14:paraId="2D393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84B6A8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14095137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60643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34D73DF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水分配系数的对数值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7D507EC"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0179F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8451AA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28BB5F2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096E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72C5FC47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4171A2FD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72EE2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37469B4E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9.17动力粘度：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0C32ED7F"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10</w:t>
            </w:r>
            <w:r>
              <w:rPr>
                <w:rFonts w:hint="eastAsia" w:cs="Arial"/>
                <w:kern w:val="0"/>
                <w:sz w:val="24"/>
              </w:rPr>
              <w:t>00</w:t>
            </w:r>
            <w:r>
              <w:rPr>
                <w:rFonts w:cs="Arial"/>
                <w:kern w:val="0"/>
                <w:sz w:val="24"/>
              </w:rPr>
              <w:t xml:space="preserve"> mPa.s</w:t>
            </w:r>
          </w:p>
        </w:tc>
      </w:tr>
      <w:tr w14:paraId="321F3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7130F82">
            <w:pPr>
              <w:tabs>
                <w:tab w:val="left" w:pos="938"/>
              </w:tabs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9.18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41199183"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kern w:val="0"/>
                <w:sz w:val="24"/>
                <w:lang w:val="en-US" w:eastAsia="zh-CN"/>
              </w:rPr>
              <w:t>3</w:t>
            </w:r>
            <w:r>
              <w:rPr>
                <w:kern w:val="0"/>
                <w:sz w:val="24"/>
              </w:rPr>
              <w:t>0</w:t>
            </w:r>
            <w:r>
              <w:rPr>
                <w:rFonts w:hint="eastAsia"/>
                <w:kern w:val="0"/>
                <w:sz w:val="24"/>
              </w:rPr>
              <w:t>±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 w:cs="Arial"/>
                <w:kern w:val="0"/>
                <w:sz w:val="24"/>
              </w:rPr>
              <w:t>%</w:t>
            </w:r>
          </w:p>
        </w:tc>
      </w:tr>
      <w:tr w14:paraId="6665F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60D21807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9.19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5450D5F3">
            <w:pPr>
              <w:pStyle w:val="11"/>
              <w:spacing w:line="300" w:lineRule="auto"/>
              <w:ind w:right="34" w:rightChars="16" w:firstLine="0" w:firstLineChars="0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41657C8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3A71C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7BA32E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D0F8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2DCA85B6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682B5B60"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 w14:paraId="480C0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E494FB8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FB2D897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在热分解过程中生成易燃有害气体。</w:t>
            </w:r>
          </w:p>
        </w:tc>
      </w:tr>
      <w:tr w14:paraId="419CA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0F3D4BCF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522A3514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 w14:paraId="063A4591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67C50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75A7F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4A6AB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single" w:color="auto" w:sz="4" w:space="0"/>
              <w:bottom w:val="nil"/>
            </w:tcBorders>
          </w:tcPr>
          <w:p w14:paraId="51ECD8C5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  <w:tc>
          <w:tcPr>
            <w:tcW w:w="6379" w:type="dxa"/>
            <w:tcBorders>
              <w:top w:val="single" w:color="auto" w:sz="4" w:space="0"/>
              <w:bottom w:val="nil"/>
            </w:tcBorders>
          </w:tcPr>
          <w:p w14:paraId="53FDCFB6">
            <w:pPr>
              <w:spacing w:line="300" w:lineRule="auto"/>
              <w:rPr>
                <w:sz w:val="24"/>
              </w:rPr>
            </w:pPr>
          </w:p>
        </w:tc>
      </w:tr>
      <w:tr w14:paraId="6C1D1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</w:tcBorders>
          </w:tcPr>
          <w:p w14:paraId="196520A0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类似产品的风险评估数据：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 w14:paraId="283D2FF5">
            <w:pPr>
              <w:spacing w:line="300" w:lineRule="auto"/>
              <w:ind w:left="34" w:leftChars="16" w:right="480"/>
              <w:rPr>
                <w:sz w:val="24"/>
              </w:rPr>
            </w:pPr>
          </w:p>
        </w:tc>
      </w:tr>
      <w:tr w14:paraId="62B80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</w:tcBorders>
          </w:tcPr>
          <w:p w14:paraId="6E1516B2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 w14:paraId="78D9D414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经口：半数致死剂量（</w:t>
            </w:r>
            <w:r>
              <w:rPr>
                <w:sz w:val="24"/>
              </w:rPr>
              <w:t>LD50</w:t>
            </w:r>
            <w:r>
              <w:rPr>
                <w:rFonts w:hint="eastAsia" w:hAnsi="Arial"/>
                <w:sz w:val="24"/>
              </w:rPr>
              <w:t>）大鼠：＞</w:t>
            </w:r>
            <w:r>
              <w:rPr>
                <w:sz w:val="24"/>
              </w:rPr>
              <w:t>2</w:t>
            </w:r>
            <w:r>
              <w:rPr>
                <w:rFonts w:hint="eastAsia" w:hAnsi="Arial"/>
                <w:sz w:val="24"/>
              </w:rPr>
              <w:t>，</w:t>
            </w:r>
            <w:r>
              <w:rPr>
                <w:sz w:val="24"/>
              </w:rPr>
              <w:t>000mg/kg</w:t>
            </w:r>
          </w:p>
        </w:tc>
      </w:tr>
      <w:tr w14:paraId="7EE6D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</w:tcBorders>
          </w:tcPr>
          <w:p w14:paraId="0495D47C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 w14:paraId="477ED1B8"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无刺激</w:t>
            </w:r>
          </w:p>
        </w:tc>
      </w:tr>
      <w:tr w14:paraId="3409E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</w:tcBorders>
          </w:tcPr>
          <w:p w14:paraId="2EC3691A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 w14:paraId="0766F415"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轻微刺激</w:t>
            </w:r>
          </w:p>
        </w:tc>
      </w:tr>
      <w:tr w14:paraId="1F48B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</w:tcBorders>
          </w:tcPr>
          <w:p w14:paraId="03E96727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 w14:paraId="22F94400"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皮肤接触不致敏</w:t>
            </w:r>
          </w:p>
        </w:tc>
      </w:tr>
      <w:tr w14:paraId="5E647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single" w:color="auto" w:sz="4" w:space="0"/>
            </w:tcBorders>
          </w:tcPr>
          <w:p w14:paraId="76A62ECE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379" w:type="dxa"/>
            <w:tcBorders>
              <w:top w:val="nil"/>
              <w:bottom w:val="single" w:color="auto" w:sz="4" w:space="0"/>
            </w:tcBorders>
          </w:tcPr>
          <w:p w14:paraId="57817F95"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</w:t>
            </w:r>
            <w:r>
              <w:rPr>
                <w:sz w:val="24"/>
              </w:rPr>
              <w:t>AMES</w:t>
            </w:r>
            <w:r>
              <w:rPr>
                <w:rFonts w:hint="eastAsia" w:hAnsi="Arial"/>
                <w:sz w:val="24"/>
              </w:rPr>
              <w:t>试验中无致突变性。</w:t>
            </w:r>
          </w:p>
        </w:tc>
      </w:tr>
    </w:tbl>
    <w:p w14:paraId="1071C8D1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66DC3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62D57D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44942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single" w:color="auto" w:sz="4" w:space="0"/>
              <w:bottom w:val="nil"/>
            </w:tcBorders>
          </w:tcPr>
          <w:p w14:paraId="335635D9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379" w:type="dxa"/>
            <w:tcBorders>
              <w:top w:val="single" w:color="auto" w:sz="4" w:space="0"/>
              <w:bottom w:val="nil"/>
            </w:tcBorders>
          </w:tcPr>
          <w:p w14:paraId="20986A0D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该产品无可用的生态毒理学研究。禁止排入下水道，废水或土壤中。</w:t>
            </w:r>
          </w:p>
        </w:tc>
      </w:tr>
      <w:tr w14:paraId="092C1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</w:tcBorders>
          </w:tcPr>
          <w:p w14:paraId="22D7FD2B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 w14:paraId="0903910D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该产品不易生物降解。</w:t>
            </w:r>
          </w:p>
        </w:tc>
      </w:tr>
      <w:tr w14:paraId="5FCDA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single" w:color="auto" w:sz="4" w:space="0"/>
            </w:tcBorders>
          </w:tcPr>
          <w:p w14:paraId="31664B4C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single" w:color="auto" w:sz="4" w:space="0"/>
            </w:tcBorders>
          </w:tcPr>
          <w:p w14:paraId="2E6AD1D9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根据生态毒理学资料，该产品被划分为对鱼类和水蚤无害类。</w:t>
            </w:r>
          </w:p>
        </w:tc>
      </w:tr>
    </w:tbl>
    <w:p w14:paraId="44FE811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22561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0134CF1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D8C9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1CA45566">
            <w:pPr>
              <w:spacing w:before="62" w:beforeLines="20" w:after="62" w:afterLines="20"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</w:tc>
      </w:tr>
      <w:tr w14:paraId="1394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 w14:paraId="19BBF30A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65FC0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3C00F408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7DC69BBD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1B03EF9E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546549F7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33870F6D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32725F4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264C5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2C8785D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1BD92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 w14:paraId="2C273103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 w14:paraId="7006AD8A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非危险品陆运输方式，符合</w:t>
            </w:r>
            <w:r>
              <w:rPr>
                <w:sz w:val="24"/>
              </w:rPr>
              <w:t>ADG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64D10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</w:tcPr>
          <w:p w14:paraId="78CD41B2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379" w:type="dxa"/>
          </w:tcPr>
          <w:p w14:paraId="510C1863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非危险品海运方式，符合</w:t>
            </w:r>
            <w:r>
              <w:rPr>
                <w:sz w:val="24"/>
              </w:rPr>
              <w:t>IMDG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794BE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</w:tcPr>
          <w:p w14:paraId="2B85FC9B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379" w:type="dxa"/>
          </w:tcPr>
          <w:p w14:paraId="70B1CC36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非危险品运输方式，符合</w:t>
            </w:r>
            <w:r>
              <w:rPr>
                <w:sz w:val="24"/>
              </w:rPr>
              <w:t>IATA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19A8A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4D341743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1181FA25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44D5B6DA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温度不可高于</w:t>
            </w:r>
            <w:r>
              <w:rPr>
                <w:sz w:val="24"/>
              </w:rPr>
              <w:t>+50</w:t>
            </w:r>
            <w:r>
              <w:rPr>
                <w:rFonts w:hint="eastAsia"/>
                <w:sz w:val="24"/>
              </w:rPr>
              <w:t>℃，温度不可低于－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64C6D12E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7122359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08F2E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2228FDA2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017EB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</w:tcPr>
          <w:p w14:paraId="6990804F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29A6E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3553575D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57CA0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1904B22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0E62A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1F468B9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cs="Arial"/>
                <w:bCs/>
                <w:kern w:val="0"/>
                <w:sz w:val="24"/>
              </w:rPr>
              <w:t>344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57121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7D7B95CD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16483-2008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0F59D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694A73C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13690-2009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260E4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22A7A77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20576- GB20598 </w:t>
            </w:r>
            <w:r>
              <w:rPr>
                <w:rFonts w:hint="eastAsia" w:cs="Arial"/>
                <w:bCs/>
                <w:kern w:val="0"/>
                <w:sz w:val="24"/>
              </w:rPr>
              <w:t>化学品分类，警示标签和警示性说明安全规范</w:t>
            </w:r>
          </w:p>
        </w:tc>
      </w:tr>
    </w:tbl>
    <w:p w14:paraId="33D5FF86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BD0A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FD83DA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26377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05C831A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573952C3">
      <w:pPr>
        <w:spacing w:line="300" w:lineRule="auto"/>
        <w:ind w:right="480"/>
        <w:rPr>
          <w:sz w:val="24"/>
        </w:rPr>
      </w:pPr>
    </w:p>
    <w:p w14:paraId="3D42070A"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646B5B8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75B1C77A"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 xml:space="preserve">广州冠志新材料科技有限公司  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PU-1107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07B64806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26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15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     </w:t>
          </w:r>
        </w:p>
      </w:tc>
    </w:tr>
    <w:tr w14:paraId="20776D3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0D095990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15EE1D34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406517DA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A38BF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62119D6D"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940912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33F0412D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PU-1107</w:t>
          </w:r>
        </w:p>
      </w:tc>
    </w:tr>
  </w:tbl>
  <w:p w14:paraId="088B5BD9"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zcwMjQ2Y2VjOWFhZTAwOTVmM2FmNjdjM2EzMTA0M2EifQ=="/>
  </w:docVars>
  <w:rsids>
    <w:rsidRoot w:val="003F27B9"/>
    <w:rsid w:val="00035FE2"/>
    <w:rsid w:val="00054D63"/>
    <w:rsid w:val="000A232D"/>
    <w:rsid w:val="000D08E9"/>
    <w:rsid w:val="000F3AE7"/>
    <w:rsid w:val="00117607"/>
    <w:rsid w:val="001951AC"/>
    <w:rsid w:val="001E2EBB"/>
    <w:rsid w:val="00215F0B"/>
    <w:rsid w:val="0022163F"/>
    <w:rsid w:val="00266D33"/>
    <w:rsid w:val="00270828"/>
    <w:rsid w:val="002E1F13"/>
    <w:rsid w:val="00306061"/>
    <w:rsid w:val="00322097"/>
    <w:rsid w:val="0034451F"/>
    <w:rsid w:val="003457F9"/>
    <w:rsid w:val="003C1007"/>
    <w:rsid w:val="003F27B9"/>
    <w:rsid w:val="004148B3"/>
    <w:rsid w:val="00431DDB"/>
    <w:rsid w:val="00447F32"/>
    <w:rsid w:val="00456CDB"/>
    <w:rsid w:val="004A3278"/>
    <w:rsid w:val="004C6615"/>
    <w:rsid w:val="00570252"/>
    <w:rsid w:val="005862EB"/>
    <w:rsid w:val="005C232E"/>
    <w:rsid w:val="005C42F9"/>
    <w:rsid w:val="005C609F"/>
    <w:rsid w:val="005F347E"/>
    <w:rsid w:val="006321EB"/>
    <w:rsid w:val="00663A83"/>
    <w:rsid w:val="006861E3"/>
    <w:rsid w:val="006A4F4E"/>
    <w:rsid w:val="00754F1F"/>
    <w:rsid w:val="007907C8"/>
    <w:rsid w:val="007A2ED7"/>
    <w:rsid w:val="007C493E"/>
    <w:rsid w:val="007D6FBC"/>
    <w:rsid w:val="007E4015"/>
    <w:rsid w:val="00853404"/>
    <w:rsid w:val="00880DD7"/>
    <w:rsid w:val="00887769"/>
    <w:rsid w:val="008C4A6C"/>
    <w:rsid w:val="008D3B67"/>
    <w:rsid w:val="0092218A"/>
    <w:rsid w:val="009D4089"/>
    <w:rsid w:val="00A21619"/>
    <w:rsid w:val="00A26D98"/>
    <w:rsid w:val="00AB2AF8"/>
    <w:rsid w:val="00AB7498"/>
    <w:rsid w:val="00B20B21"/>
    <w:rsid w:val="00B26FBE"/>
    <w:rsid w:val="00B500B7"/>
    <w:rsid w:val="00BA1097"/>
    <w:rsid w:val="00BA6ABB"/>
    <w:rsid w:val="00BE10CE"/>
    <w:rsid w:val="00C14426"/>
    <w:rsid w:val="00C45C80"/>
    <w:rsid w:val="00C7667B"/>
    <w:rsid w:val="00C817D8"/>
    <w:rsid w:val="00D13E1C"/>
    <w:rsid w:val="00D32CC2"/>
    <w:rsid w:val="00D75E1E"/>
    <w:rsid w:val="00DA78A9"/>
    <w:rsid w:val="00DB72E1"/>
    <w:rsid w:val="00E34CDB"/>
    <w:rsid w:val="00E52233"/>
    <w:rsid w:val="00E62421"/>
    <w:rsid w:val="00E87E33"/>
    <w:rsid w:val="00F00410"/>
    <w:rsid w:val="00F47E15"/>
    <w:rsid w:val="00F6692C"/>
    <w:rsid w:val="00F9634F"/>
    <w:rsid w:val="00FE5278"/>
    <w:rsid w:val="1BA17AA0"/>
    <w:rsid w:val="2A494399"/>
    <w:rsid w:val="3F7D6940"/>
    <w:rsid w:val="49163D3D"/>
    <w:rsid w:val="5D0A172F"/>
    <w:rsid w:val="5DD23841"/>
    <w:rsid w:val="65675C70"/>
    <w:rsid w:val="6BB03DD3"/>
    <w:rsid w:val="6E7C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customStyle="1" w:styleId="11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1868</Words>
  <Characters>2125</Characters>
  <Lines>18</Lines>
  <Paragraphs>5</Paragraphs>
  <TotalTime>2</TotalTime>
  <ScaleCrop>false</ScaleCrop>
  <LinksUpToDate>false</LinksUpToDate>
  <CharactersWithSpaces>2235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2017-04-19T01:45:00Z</dcterms:created>
  <dc:creator>Windows 用户</dc:creator>
  <cp:lastModifiedBy>狮子座的兔子</cp:lastModifiedBy>
  <cp:lastPrinted>2015-09-25T02:04:00Z</cp:lastPrinted>
  <dcterms:modified xsi:type="dcterms:W3CDTF">2026-01-15T05:41:37Z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B5F22D54084E41B6BF9FDA5AC52AA8E2</vt:lpwstr>
  </property>
  <property fmtid="{D5CDD505-2E9C-101B-9397-08002B2CF9AE}" pid="4" name="KSOTemplateDocerSaveRecord">
    <vt:lpwstr>eyJoZGlkIjoiMzcwMjQ2Y2VjOWFhZTAwOTVmM2FmNjdjM2EzMTA0M2EiLCJ1c2VySWQiOiI5MTI3NTMxMjQifQ==</vt:lpwstr>
  </property>
</Properties>
</file>