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bookmarkStart w:id="0" w:name="_GoBack"/>
            <w:bookmarkEnd w:id="0"/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19" w:type="dxa"/>
            <w:tcBorders>
              <w:bottom w:val="nil"/>
              <w:right w:val="nil"/>
            </w:tcBorders>
          </w:tcPr>
          <w:p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62" w:type="dxa"/>
            <w:tcBorders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水性聚氨酯分散体</w:t>
            </w:r>
            <w:r>
              <w:rPr>
                <w:rFonts w:hint="eastAsia"/>
                <w:sz w:val="24"/>
              </w:rPr>
              <w:t>PU-</w:t>
            </w:r>
            <w:r>
              <w:rPr>
                <w:rFonts w:hint="eastAsia"/>
                <w:sz w:val="24"/>
                <w:lang w:val="en-US" w:eastAsia="zh-CN"/>
              </w:rPr>
              <w:t>202A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改性聚氨酯树脂水分散体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1"/>
                <w:numId w:val="1"/>
              </w:numPr>
              <w:tabs>
                <w:tab w:val="left" w:pos="0"/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产品使用建议和使用限制</w:t>
            </w:r>
            <w:r>
              <w:rPr>
                <w:rFonts w:hint="eastAsia" w:hAnsi="Arial"/>
                <w:b/>
                <w:sz w:val="24"/>
                <w:lang w:eastAsia="zh-CN"/>
              </w:rPr>
              <w:t>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</w:tcPr>
          <w:p>
            <w:pPr>
              <w:spacing w:beforeLines="0" w:afterLines="0"/>
              <w:jc w:val="lef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应用于</w:t>
            </w:r>
            <w:r>
              <w:rPr>
                <w:rFonts w:hint="eastAsia"/>
                <w:sz w:val="24"/>
              </w:rPr>
              <w:t>皮革涂饰、纺织涂层、纸张印刷</w:t>
            </w:r>
            <w:r>
              <w:rPr>
                <w:rFonts w:hint="eastAsia"/>
                <w:sz w:val="24"/>
                <w:lang w:eastAsia="zh-CN"/>
              </w:rPr>
              <w:t>、粘合剂</w:t>
            </w:r>
            <w:r>
              <w:rPr>
                <w:rFonts w:hint="eastAsia"/>
                <w:sz w:val="24"/>
                <w:lang w:val="en-US" w:eastAsia="zh-CN"/>
              </w:rPr>
              <w:t>等行业。</w:t>
            </w:r>
          </w:p>
          <w:p>
            <w:pPr>
              <w:spacing w:beforeLines="0" w:afterLines="0"/>
              <w:jc w:val="left"/>
              <w:rPr>
                <w:rFonts w:hint="default"/>
                <w:sz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8" w:leftChars="218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rFonts w:cs="宋体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广州冠志新材料科技有限公司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6" w:leftChars="217" w:firstLine="2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广州市萝岗区科学城掬泉路3号广州国际企业孵化器A区1106室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>82567990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19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62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 xml:space="preserve">32214789   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rFonts w:hint="eastAsia" w:hAnsi="Arial"/>
                <w:b/>
                <w:sz w:val="24"/>
              </w:rPr>
              <w:t>危险性概述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</w:trPr>
        <w:tc>
          <w:tcPr>
            <w:tcW w:w="9781" w:type="dxa"/>
          </w:tcPr>
          <w:p>
            <w:pPr>
              <w:pStyle w:val="9"/>
              <w:autoSpaceDE w:val="0"/>
              <w:autoSpaceDN w:val="0"/>
              <w:adjustRightInd w:val="0"/>
              <w:spacing w:line="300" w:lineRule="auto"/>
              <w:ind w:left="0" w:leftChars="0" w:firstLine="0" w:firstLineChars="0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 xml:space="preserve">2.1 </w:t>
            </w:r>
            <w:r>
              <w:rPr>
                <w:b/>
                <w:sz w:val="24"/>
              </w:rPr>
              <w:t>GHS</w:t>
            </w:r>
            <w:r>
              <w:rPr>
                <w:rFonts w:hint="eastAsia"/>
                <w:b/>
                <w:sz w:val="24"/>
                <w:lang w:val="en-US" w:eastAsia="zh-CN"/>
              </w:rPr>
              <w:t>危险性类别</w:t>
            </w:r>
            <w:r>
              <w:rPr>
                <w:rFonts w:hint="eastAsia"/>
                <w:b/>
                <w:sz w:val="24"/>
              </w:rPr>
              <w:t>：</w:t>
            </w:r>
          </w:p>
          <w:p>
            <w:pPr>
              <w:spacing w:line="300" w:lineRule="auto"/>
              <w:jc w:val="left"/>
              <w:rPr>
                <w:rFonts w:hint="eastAsia" w:cs="Arial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急性毒性（吸入），类别4（H332）</w:t>
            </w:r>
          </w:p>
          <w:p>
            <w:pPr>
              <w:spacing w:line="300" w:lineRule="auto"/>
              <w:jc w:val="left"/>
              <w:rPr>
                <w:rFonts w:hint="eastAsia" w:cs="Arial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皮肤腐蚀/刺激，类别3（H316）</w:t>
            </w:r>
          </w:p>
          <w:p>
            <w:pPr>
              <w:spacing w:line="300" w:lineRule="auto"/>
              <w:jc w:val="left"/>
              <w:rPr>
                <w:rFonts w:hint="eastAsia" w:cs="Arial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严重眼睛损伤/眼睛刺激性，类别2B（H320）</w:t>
            </w:r>
          </w:p>
          <w:p>
            <w:pPr>
              <w:spacing w:line="300" w:lineRule="auto"/>
              <w:jc w:val="left"/>
              <w:rPr>
                <w:rFonts w:hint="eastAsia" w:cs="Arial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生殖毒性物质，类别1B（H360）</w:t>
            </w:r>
          </w:p>
          <w:p>
            <w:pPr>
              <w:spacing w:line="300" w:lineRule="auto"/>
              <w:jc w:val="left"/>
              <w:rPr>
                <w:rFonts w:hint="eastAsia" w:cs="Arial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特异性靶器官系统毒性 一次接触，类别1（H370）</w:t>
            </w:r>
          </w:p>
          <w:p>
            <w:pPr>
              <w:spacing w:line="300" w:lineRule="auto"/>
              <w:jc w:val="left"/>
              <w:rPr>
                <w:rFonts w:hint="default" w:cs="Arial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特异性靶器官系统毒性 反复接触，类别2（H373）</w:t>
            </w:r>
          </w:p>
          <w:p>
            <w:pPr>
              <w:spacing w:line="300" w:lineRule="auto"/>
              <w:ind w:left="458" w:leftChars="218"/>
            </w:pPr>
          </w:p>
          <w:p>
            <w:pPr>
              <w:spacing w:line="300" w:lineRule="auto"/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  <w:lang w:val="en-US" w:eastAsia="zh-CN"/>
              </w:rPr>
              <w:t xml:space="preserve">2.2 </w:t>
            </w:r>
            <w:r>
              <w:rPr>
                <w:rFonts w:cs="Arial"/>
                <w:b/>
                <w:bCs/>
                <w:kern w:val="0"/>
                <w:sz w:val="24"/>
              </w:rPr>
              <w:t>GHS</w:t>
            </w:r>
            <w:r>
              <w:rPr>
                <w:rFonts w:hint="eastAsia" w:cs="Arial"/>
                <w:b/>
                <w:bCs/>
                <w:kern w:val="0"/>
                <w:sz w:val="24"/>
                <w:lang w:val="en-US" w:eastAsia="zh-CN"/>
              </w:rPr>
              <w:t>标签要素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：</w:t>
            </w:r>
          </w:p>
          <w:p>
            <w:pPr>
              <w:spacing w:line="300" w:lineRule="auto"/>
              <w:rPr>
                <w:rFonts w:hint="eastAsia" w:hAnsi="Arial" w:eastAsia="宋体" w:cs="Arial"/>
                <w:b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GHS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象形图</w:t>
            </w:r>
            <w:r>
              <w:rPr>
                <w:rFonts w:hint="eastAsia" w:hAnsi="Arial" w:cs="Arial"/>
                <w:b/>
                <w:bCs/>
                <w:kern w:val="0"/>
                <w:sz w:val="24"/>
                <w:lang w:eastAsia="zh-CN"/>
              </w:rPr>
              <w:t>：</w:t>
            </w:r>
          </w:p>
          <w:p>
            <w:pPr>
              <w:spacing w:line="300" w:lineRule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sz w:val="24"/>
                <w:lang w:eastAsia="zh-CN"/>
              </w:rPr>
              <w:drawing>
                <wp:inline distT="0" distB="0" distL="114300" distR="114300">
                  <wp:extent cx="1080135" cy="1035050"/>
                  <wp:effectExtent l="0" t="0" r="5715" b="12700"/>
                  <wp:docPr id="7" name="图片 7" descr="a7b9e896460dc52dc6206ee221eea8f5_5bf3c34a9a9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a7b9e896460dc52dc6206ee221eea8f5_5bf3c34a9a96f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03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宋体"/>
                <w:sz w:val="24"/>
                <w:lang w:eastAsia="zh-CN"/>
              </w:rPr>
              <w:drawing>
                <wp:inline distT="0" distB="0" distL="114300" distR="114300">
                  <wp:extent cx="1080135" cy="1028065"/>
                  <wp:effectExtent l="0" t="0" r="5715" b="635"/>
                  <wp:docPr id="6" name="图片 6" descr="5fba3e5eb86cadebbd61a9a86c575918_5bf3c3455c9b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5fba3e5eb86cadebbd61a9a86c575918_5bf3c3455c9b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028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00" w:lineRule="auto"/>
              <w:ind w:left="458" w:leftChars="218"/>
              <w:rPr>
                <w:rFonts w:hint="eastAsia" w:eastAsia="宋体"/>
                <w:sz w:val="24"/>
                <w:lang w:eastAsia="zh-CN"/>
              </w:rPr>
            </w:pPr>
          </w:p>
          <w:p>
            <w:pPr>
              <w:spacing w:line="300" w:lineRule="auto"/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</w:pPr>
          </w:p>
          <w:p>
            <w:pPr>
              <w:spacing w:line="300" w:lineRule="auto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信号词：</w:t>
            </w: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危险</w:t>
            </w:r>
          </w:p>
          <w:p>
            <w:pPr>
              <w:spacing w:line="300" w:lineRule="auto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</w:p>
          <w:p>
            <w:pPr>
              <w:spacing w:line="300" w:lineRule="auto"/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危险性说明：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H316</w:t>
            </w: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造成轻微皮肤刺激。</w:t>
            </w:r>
          </w:p>
          <w:p>
            <w:pPr>
              <w:spacing w:line="300" w:lineRule="auto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 xml:space="preserve">          </w:t>
            </w:r>
            <w:r>
              <w:rPr>
                <w:rFonts w:hint="eastAsia" w:cs="Arial"/>
                <w:kern w:val="0"/>
                <w:sz w:val="24"/>
                <w:lang w:val="en-US" w:eastAsia="zh-CN"/>
              </w:rPr>
              <w:t>H320</w:t>
            </w: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造成眼睛刺激。</w:t>
            </w:r>
          </w:p>
          <w:p>
            <w:pPr>
              <w:spacing w:line="300" w:lineRule="auto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 xml:space="preserve">          </w:t>
            </w:r>
            <w:r>
              <w:rPr>
                <w:rFonts w:hint="eastAsia" w:cs="Arial"/>
                <w:kern w:val="0"/>
                <w:sz w:val="24"/>
                <w:lang w:val="en-US" w:eastAsia="zh-CN"/>
              </w:rPr>
              <w:t>H332</w:t>
            </w: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吸入有害。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H360</w:t>
            </w: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可能对生育能力或胎儿造成伤害。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H370</w:t>
            </w: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可能对器官的伤害。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H373</w:t>
            </w: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长期或重复暴露可能会对器官造成伤害（肝）。</w:t>
            </w:r>
          </w:p>
          <w:p>
            <w:pPr>
              <w:spacing w:line="300" w:lineRule="auto"/>
              <w:ind w:firstLine="1440" w:firstLineChars="6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</w:p>
          <w:p>
            <w:pPr>
              <w:spacing w:beforeLines="0" w:afterLines="0"/>
              <w:jc w:val="left"/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防范说明：</w:t>
            </w:r>
          </w:p>
          <w:p>
            <w:pPr>
              <w:spacing w:line="300" w:lineRule="auto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预防措施：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P201 在使用前获取特别指示。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P202 在阅读并了解所有安全预防措施之前，切勿操作与处置。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P260不要吸入粉尘/烟/气体/气雾/蒸气/喷雾。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P264操作后彻底清洗双手。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P270使用本产品时不要进食、饮水或吸烟。</w:t>
            </w:r>
          </w:p>
          <w:p>
            <w:pPr>
              <w:spacing w:line="300" w:lineRule="auto"/>
              <w:ind w:firstLine="1200" w:firstLineChars="500"/>
              <w:rPr>
                <w:rFonts w:hint="default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P271只能在室外或通风良好处使用。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 xml:space="preserve">P280 戴防护手套/穿防护服/戴防护眼罩/戴防护面具。 </w:t>
            </w:r>
          </w:p>
          <w:p>
            <w:pPr>
              <w:spacing w:line="300" w:lineRule="auto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事故响应：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P304+P340如误吸入：将人转移到空气新鲜处，保持呼吸舒适体位。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P305+P351+P338 如果进入眼睛：用水小心地冲洗几分钟。如简便易行，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摘除隐形眼镜，继续冲洗。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P308+P313如果接触到或有疑虑：求医/就诊。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P337+P313如眼刺激持续不退：求医/就诊。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P370+P378火灾时：使用泡沫，干粉灭火器或二氧化碳灭火。</w:t>
            </w:r>
          </w:p>
          <w:p>
            <w:pPr>
              <w:spacing w:line="300" w:lineRule="auto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安全储存：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P405 储存处须加锁。</w:t>
            </w:r>
          </w:p>
          <w:p>
            <w:pPr>
              <w:spacing w:line="300" w:lineRule="auto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废弃处置：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P501 处置内装物/容器按照当地规章。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</w:p>
          <w:p>
            <w:pPr>
              <w:spacing w:beforeLines="0" w:afterLines="0"/>
              <w:jc w:val="left"/>
              <w:rPr>
                <w:rFonts w:hint="default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其他危险：</w:t>
            </w: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无适用资料。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519" w:type="dxa"/>
            <w:tcBorders>
              <w:left w:val="single" w:color="auto" w:sz="4" w:space="0"/>
              <w:bottom w:val="nil"/>
              <w:right w:val="nil"/>
            </w:tcBorders>
          </w:tcPr>
          <w:p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6262" w:type="dxa"/>
            <w:gridSpan w:val="2"/>
            <w:tcBorders>
              <w:left w:val="nil"/>
              <w:bottom w:val="nil"/>
              <w:right w:val="single" w:color="auto" w:sz="4" w:space="0"/>
            </w:tcBorders>
          </w:tcPr>
          <w:p>
            <w:pPr>
              <w:spacing w:line="300" w:lineRule="auto"/>
              <w:ind w:right="480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混合物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300" w:lineRule="auto"/>
              <w:ind w:right="34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>
            <w:pPr>
              <w:spacing w:line="300" w:lineRule="auto"/>
              <w:ind w:right="34"/>
              <w:rPr>
                <w:b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spacing w:line="300" w:lineRule="auto"/>
              <w:ind w:right="34" w:firstLine="241" w:firstLineChars="100"/>
              <w:jc w:val="both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300" w:lineRule="auto"/>
              <w:ind w:right="480"/>
              <w:jc w:val="left"/>
              <w:rPr>
                <w:sz w:val="24"/>
                <w:u w:val="single"/>
              </w:rPr>
            </w:pPr>
            <w:r>
              <w:rPr>
                <w:sz w:val="24"/>
                <w:u w:val="single"/>
              </w:rPr>
              <w:t>CAS</w:t>
            </w:r>
            <w:r>
              <w:rPr>
                <w:rFonts w:hint="eastAsia"/>
                <w:sz w:val="24"/>
                <w:u w:val="single"/>
              </w:rPr>
              <w:t>编号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>
            <w:pPr>
              <w:spacing w:line="300" w:lineRule="auto"/>
              <w:ind w:right="480"/>
              <w:jc w:val="left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  <w:lang w:val="en-US" w:eastAsia="zh-CN"/>
              </w:rPr>
              <w:t>含量</w:t>
            </w:r>
            <w:r>
              <w:rPr>
                <w:sz w:val="24"/>
                <w:u w:val="single"/>
              </w:rPr>
              <w:t>%</w:t>
            </w:r>
            <w:r>
              <w:rPr>
                <w:rFonts w:hint="eastAsia" w:hAnsi="Arial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w/w</w:t>
            </w:r>
            <w:r>
              <w:rPr>
                <w:rFonts w:hint="eastAsia" w:hAnsi="Arial"/>
                <w:sz w:val="24"/>
                <w:u w:val="single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top"/>
          </w:tcPr>
          <w:p>
            <w:pPr>
              <w:spacing w:line="300" w:lineRule="auto"/>
              <w:ind w:right="34" w:rightChars="0" w:firstLine="241" w:firstLineChars="100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sz w:val="24"/>
              </w:rPr>
              <w:t>聚氨酯分散体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300" w:lineRule="auto"/>
              <w:ind w:right="480" w:rightChars="0"/>
              <w:jc w:val="lef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9009-54-5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spacing w:line="300" w:lineRule="auto"/>
              <w:ind w:right="48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28.0~31.0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top"/>
          </w:tcPr>
          <w:p>
            <w:pPr>
              <w:spacing w:line="300" w:lineRule="auto"/>
              <w:ind w:right="34" w:rightChars="0" w:firstLine="241" w:firstLineChars="100"/>
              <w:jc w:val="both"/>
              <w:rPr>
                <w:rFonts w:hint="eastAsia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去离子</w:t>
            </w:r>
            <w:r>
              <w:rPr>
                <w:rFonts w:hint="eastAsia"/>
                <w:b/>
                <w:sz w:val="24"/>
                <w:lang w:eastAsia="zh-CN"/>
              </w:rPr>
              <w:t>水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300" w:lineRule="auto"/>
              <w:ind w:right="480" w:rightChars="0"/>
              <w:jc w:val="lef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7732-18-5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spacing w:line="300" w:lineRule="auto"/>
              <w:ind w:right="48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53.0~57.0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vAlign w:val="top"/>
          </w:tcPr>
          <w:p>
            <w:pPr>
              <w:spacing w:line="300" w:lineRule="auto"/>
              <w:ind w:right="34" w:firstLine="241" w:firstLineChars="100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N,N</w:t>
            </w:r>
            <w:r>
              <w:rPr>
                <w:rFonts w:hint="eastAsia" w:hAnsi="Arial"/>
                <w:b/>
                <w:bCs/>
                <w:sz w:val="24"/>
                <w:lang w:val="en-US" w:eastAsia="zh-CN"/>
              </w:rPr>
              <w:t>－</w:t>
            </w:r>
            <w:r>
              <w:rPr>
                <w:rFonts w:hint="eastAsia"/>
                <w:b/>
                <w:sz w:val="24"/>
              </w:rPr>
              <w:t>二甲基乙酰胺(</w:t>
            </w:r>
            <w:r>
              <w:rPr>
                <w:rFonts w:hint="eastAsia"/>
                <w:b/>
                <w:sz w:val="24"/>
                <w:lang w:val="en-US" w:eastAsia="zh-CN"/>
              </w:rPr>
              <w:t>DMAC</w:t>
            </w:r>
            <w:r>
              <w:rPr>
                <w:rFonts w:hint="eastAsia"/>
                <w:b/>
                <w:sz w:val="24"/>
              </w:rPr>
              <w:t>)</w:t>
            </w:r>
          </w:p>
        </w:tc>
        <w:tc>
          <w:tcPr>
            <w:tcW w:w="3153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127-19-5</w:t>
            </w:r>
          </w:p>
        </w:tc>
        <w:tc>
          <w:tcPr>
            <w:tcW w:w="31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ind w:right="48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15.0~16.0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276" w:type="dxa"/>
            <w:tcBorders>
              <w:top w:val="single" w:color="auto" w:sz="4" w:space="0"/>
              <w:left w:val="nil"/>
              <w:bottom w:val="nil"/>
            </w:tcBorders>
          </w:tcPr>
          <w:p>
            <w:p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立即脱掉所有被污染的衣物。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vAlign w:val="top"/>
          </w:tcPr>
          <w:p>
            <w:pPr>
              <w:numPr>
                <w:ilvl w:val="0"/>
                <w:numId w:val="3"/>
              </w:numPr>
              <w:spacing w:line="300" w:lineRule="auto"/>
              <w:ind w:left="420" w:leftChars="0" w:hanging="420" w:firstLineChars="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276" w:type="dxa"/>
            <w:tcBorders>
              <w:top w:val="nil"/>
              <w:left w:val="nil"/>
              <w:bottom w:val="nil"/>
            </w:tcBorders>
            <w:vAlign w:val="top"/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若意外吞食，不要催吐，立即就医。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无意识时，不要经口喂食任何食物。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vAlign w:val="top"/>
          </w:tcPr>
          <w:p>
            <w:pPr>
              <w:numPr>
                <w:ilvl w:val="0"/>
                <w:numId w:val="3"/>
              </w:numPr>
              <w:spacing w:line="300" w:lineRule="auto"/>
              <w:ind w:left="420" w:leftChars="0" w:hanging="420" w:firstLineChars="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276" w:type="dxa"/>
            <w:tcBorders>
              <w:top w:val="nil"/>
              <w:left w:val="nil"/>
              <w:bottom w:val="nil"/>
            </w:tcBorders>
            <w:vAlign w:val="top"/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立即翻起上下眼睑用大量缓和流动的水清洗眼睛至少20 分钟。且将头倾斜，避免化学品流入另一只未受污染的眼睛，并立即就医。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vAlign w:val="top"/>
          </w:tcPr>
          <w:p>
            <w:pPr>
              <w:numPr>
                <w:ilvl w:val="0"/>
                <w:numId w:val="3"/>
              </w:numPr>
              <w:spacing w:line="300" w:lineRule="auto"/>
              <w:ind w:left="420" w:leftChars="0" w:hanging="420" w:firstLineChars="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276" w:type="dxa"/>
            <w:tcBorders>
              <w:top w:val="nil"/>
              <w:left w:val="nil"/>
              <w:bottom w:val="nil"/>
            </w:tcBorders>
            <w:vAlign w:val="top"/>
          </w:tcPr>
          <w:p>
            <w:pPr>
              <w:spacing w:line="300" w:lineRule="auto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立即用肥皂和大量的水冲洗。若发生皮肤反应，就医。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276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一旦吸入，如有不适，就医。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519" w:type="dxa"/>
            <w:tcBorders>
              <w:top w:val="single" w:color="auto" w:sz="4" w:space="0"/>
            </w:tcBorders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262" w:type="dxa"/>
            <w:tcBorders>
              <w:top w:val="single" w:color="auto" w:sz="4" w:space="0"/>
            </w:tcBorders>
          </w:tcPr>
          <w:p>
            <w:pPr>
              <w:spacing w:line="300" w:lineRule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</w:rPr>
              <w:t>二氧化碳（</w:t>
            </w:r>
            <w:r>
              <w:rPr>
                <w:sz w:val="24"/>
              </w:rPr>
              <w:t>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rFonts w:hint="eastAsia"/>
                <w:sz w:val="24"/>
              </w:rPr>
              <w:t>），</w:t>
            </w:r>
            <w:r>
              <w:rPr>
                <w:rFonts w:hint="eastAsia"/>
                <w:sz w:val="24"/>
                <w:lang w:val="en-US" w:eastAsia="zh-CN"/>
              </w:rPr>
              <w:t>耐醇</w:t>
            </w:r>
            <w:r>
              <w:rPr>
                <w:rFonts w:hint="eastAsia"/>
                <w:sz w:val="24"/>
              </w:rPr>
              <w:t>泡沫，</w:t>
            </w:r>
            <w:r>
              <w:rPr>
                <w:rFonts w:hint="eastAsia"/>
                <w:sz w:val="24"/>
                <w:lang w:val="en-US" w:eastAsia="zh-CN"/>
              </w:rPr>
              <w:t>化学干粉</w:t>
            </w:r>
            <w:r>
              <w:rPr>
                <w:rFonts w:hint="eastAsia"/>
                <w:sz w:val="24"/>
                <w:lang w:eastAsia="zh-CN"/>
              </w:rPr>
              <w:t>。</w:t>
            </w:r>
            <w:r>
              <w:rPr>
                <w:rFonts w:hint="eastAsia"/>
                <w:sz w:val="24"/>
                <w:lang w:val="en-US" w:eastAsia="zh-CN"/>
              </w:rPr>
              <w:t>大火时应用水喷洒。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519" w:type="dxa"/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262" w:type="dxa"/>
          </w:tcPr>
          <w:p>
            <w:pPr>
              <w:tabs>
                <w:tab w:val="left" w:pos="-108"/>
              </w:tabs>
              <w:spacing w:line="300" w:lineRule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</w:rPr>
              <w:t>高流量的水喷射</w:t>
            </w:r>
            <w:r>
              <w:rPr>
                <w:rFonts w:hint="eastAsia"/>
                <w:sz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262" w:type="dxa"/>
          </w:tcPr>
          <w:p>
            <w:pPr>
              <w:spacing w:line="300" w:lineRule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</w:rPr>
              <w:t>燃烧时释放一氧化碳、二氧化碳、氮氧化物</w:t>
            </w:r>
            <w:r>
              <w:rPr>
                <w:rFonts w:hint="eastAsia"/>
                <w:sz w:val="24"/>
                <w:lang w:val="en-US" w:eastAsia="zh-CN"/>
              </w:rPr>
              <w:t>等</w:t>
            </w:r>
            <w:r>
              <w:rPr>
                <w:rFonts w:hint="eastAsia"/>
                <w:sz w:val="24"/>
                <w:lang w:eastAsia="zh-CN"/>
              </w:rPr>
              <w:t>。</w:t>
            </w:r>
          </w:p>
          <w:p>
            <w:pPr>
              <w:spacing w:line="300" w:lineRule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在着火或爆炸情况下，不要吸进烟尘。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519" w:type="dxa"/>
            <w:tcBorders>
              <w:bottom w:val="single" w:color="auto" w:sz="4" w:space="0"/>
            </w:tcBorders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262" w:type="dxa"/>
            <w:tcBorders>
              <w:bottom w:val="single" w:color="auto" w:sz="4" w:space="0"/>
            </w:tcBorders>
          </w:tcPr>
          <w:p>
            <w:pPr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消防人员必须佩戴自供气式呼吸器。</w:t>
            </w:r>
          </w:p>
          <w:p>
            <w:pPr>
              <w:tabs>
                <w:tab w:val="left" w:pos="-108"/>
              </w:tabs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禁止污染的灭火用水流入土壤，地下水或地表水中。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3519" w:type="dxa"/>
            <w:tcBorders>
              <w:top w:val="single" w:color="auto" w:sz="4" w:space="0"/>
            </w:tcBorders>
          </w:tcPr>
          <w:p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262" w:type="dxa"/>
            <w:tcBorders>
              <w:top w:val="single" w:color="auto" w:sz="4" w:space="0"/>
            </w:tcBorders>
          </w:tcPr>
          <w:p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戴防护设备。确保充分的通风</w:t>
            </w:r>
            <w:r>
              <w:rPr>
                <w:sz w:val="24"/>
              </w:rPr>
              <w:t>/</w:t>
            </w:r>
            <w:r>
              <w:rPr>
                <w:rFonts w:hint="eastAsia"/>
                <w:sz w:val="24"/>
              </w:rPr>
              <w:t>排气。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令未授权人员离开。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19" w:type="dxa"/>
          </w:tcPr>
          <w:p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环境保护措施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262" w:type="dxa"/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禁止排入下水道，废水或土壤中</w:t>
            </w:r>
            <w:r>
              <w:rPr>
                <w:rFonts w:hint="eastAsia"/>
                <w:sz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19" w:type="dxa"/>
            <w:tcBorders>
              <w:bottom w:val="single" w:color="auto" w:sz="4" w:space="0"/>
            </w:tcBorders>
          </w:tcPr>
          <w:p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262" w:type="dxa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用化学品吸收材料或必要时用干沙收集，并储存与密闭容器中。</w:t>
            </w:r>
          </w:p>
        </w:tc>
      </w:tr>
    </w:tbl>
    <w:p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262" w:type="dxa"/>
            <w:tcBorders>
              <w:top w:val="single" w:color="auto" w:sz="4" w:space="0"/>
              <w:left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hint="default" w:eastAsia="宋体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在具有适当排气通风的场所使用。</w:t>
            </w:r>
            <w:r>
              <w:rPr>
                <w:rFonts w:hint="eastAsia" w:hAnsi="Arial" w:cs="Arial"/>
                <w:kern w:val="0"/>
                <w:sz w:val="24"/>
              </w:rPr>
              <w:t>避免与皮肤和眼睛接触。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不要呼吸蒸气或喷雾。远离食物，饮料和烟草，休息前及工作结束及时洗手。更换被污染或浸湿的衣物。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519" w:type="dxa"/>
            <w:tcBorders>
              <w:top w:val="nil"/>
              <w:bottom w:val="single" w:color="auto" w:sz="4" w:space="0"/>
            </w:tcBorders>
          </w:tcPr>
          <w:p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262" w:type="dxa"/>
            <w:tcBorders>
              <w:top w:val="nil"/>
              <w:bottom w:val="single" w:color="auto" w:sz="4" w:space="0"/>
            </w:tcBorders>
          </w:tcPr>
          <w:p>
            <w:pPr>
              <w:widowControl/>
              <w:shd w:val="clear" w:color="auto" w:fill="FFFFFF"/>
              <w:spacing w:line="375" w:lineRule="atLeast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容器保持紧闭，存储在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凉爽</w:t>
            </w:r>
            <w:r>
              <w:rPr>
                <w:rFonts w:hint="eastAsia" w:hAnsi="Arial" w:cs="Arial"/>
                <w:kern w:val="0"/>
                <w:sz w:val="24"/>
              </w:rPr>
              <w:t>通风处。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为保证</w:t>
            </w:r>
            <w:r>
              <w:rPr>
                <w:rFonts w:hint="eastAsia" w:hAnsi="Arial" w:cs="Arial"/>
                <w:kern w:val="0"/>
                <w:sz w:val="24"/>
              </w:rPr>
              <w:t>产品质量，必须遵守我们产品信息表的储存条件。</w:t>
            </w:r>
            <w:r>
              <w:rPr>
                <w:rFonts w:cs="Arial"/>
                <w:kern w:val="0"/>
                <w:sz w:val="24"/>
              </w:rPr>
              <w:t xml:space="preserve"> </w:t>
            </w:r>
          </w:p>
        </w:tc>
      </w:tr>
    </w:tbl>
    <w:p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3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0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60" w:type="dxa"/>
            <w:gridSpan w:val="2"/>
            <w:tcBorders>
              <w:top w:val="single" w:color="auto" w:sz="4" w:space="0"/>
              <w:bottom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8.1</w:t>
            </w:r>
            <w:r>
              <w:rPr>
                <w:rFonts w:hint="eastAsia"/>
                <w:b/>
                <w:sz w:val="24"/>
              </w:rPr>
              <w:t>暴露控制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喷涂过程中要求有呼吸防护设备。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3451"/>
              </w:tabs>
              <w:spacing w:line="300" w:lineRule="auto"/>
              <w:ind w:left="3855" w:hanging="3855" w:hangingChars="16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  <w:r>
              <w:rPr>
                <w:rFonts w:hint="eastAsia" w:hAnsi="Arial" w:cs="Arial"/>
                <w:kern w:val="0"/>
                <w:sz w:val="24"/>
              </w:rPr>
              <w:t>喷涂过程中要求有呼吸防护设备。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</w:tcPr>
          <w:p>
            <w:pPr>
              <w:tabs>
                <w:tab w:val="left" w:pos="3451"/>
              </w:tabs>
              <w:spacing w:line="300" w:lineRule="auto"/>
              <w:ind w:left="3855" w:hanging="3840" w:hangingChars="1600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建议戴上防护手套。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cs="Arial"/>
                <w:kern w:val="0"/>
                <w:sz w:val="24"/>
              </w:rPr>
              <w:t>EN 374-3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氟化橡胶</w:t>
            </w:r>
            <w:r>
              <w:rPr>
                <w:rFonts w:cs="Arial"/>
                <w:kern w:val="0"/>
                <w:sz w:val="24"/>
              </w:rPr>
              <w:t xml:space="preserve"> –FKM:</w:t>
            </w: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0.4mm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丁基橡胶</w:t>
            </w:r>
            <w:r>
              <w:rPr>
                <w:rFonts w:cs="Arial"/>
                <w:kern w:val="0"/>
                <w:sz w:val="24"/>
              </w:rPr>
              <w:t xml:space="preserve"> –IIR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丁腈橡胶</w:t>
            </w:r>
            <w:r>
              <w:rPr>
                <w:rFonts w:cs="Arial"/>
                <w:kern w:val="0"/>
                <w:sz w:val="24"/>
              </w:rPr>
              <w:t xml:space="preserve"> – NBR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0.35mm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污染的手套应废弃。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戴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护目镜</w:t>
            </w:r>
            <w:r>
              <w:rPr>
                <w:rFonts w:hint="eastAsia" w:hAnsi="Arial" w:cs="Arial"/>
                <w:kern w:val="0"/>
                <w:sz w:val="24"/>
              </w:rPr>
              <w:t>/面罩。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341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穿着适当的防护服。</w:t>
            </w:r>
          </w:p>
        </w:tc>
      </w:tr>
    </w:tbl>
    <w:p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ind w:left="732" w:hanging="732"/>
              <w:jc w:val="both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外观：</w:t>
            </w:r>
          </w:p>
        </w:tc>
        <w:tc>
          <w:tcPr>
            <w:tcW w:w="6277" w:type="dxa"/>
            <w:tcBorders>
              <w:top w:val="single" w:color="auto" w:sz="4" w:space="0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泛蓝光半透明乳液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 xml:space="preserve">嗅觉阀值： </w:t>
            </w:r>
            <w:r>
              <w:rPr>
                <w:b/>
                <w:sz w:val="24"/>
              </w:rPr>
              <w:t xml:space="preserve"> 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b/>
                <w:sz w:val="24"/>
              </w:rPr>
              <w:t>pH</w:t>
            </w:r>
            <w:r>
              <w:rPr>
                <w:rFonts w:hint="eastAsia"/>
                <w:b/>
                <w:sz w:val="24"/>
              </w:rPr>
              <w:t>值（</w:t>
            </w:r>
            <w:r>
              <w:rPr>
                <w:b/>
                <w:sz w:val="24"/>
              </w:rPr>
              <w:t>1%</w:t>
            </w:r>
            <w:r>
              <w:rPr>
                <w:rFonts w:hint="eastAsia"/>
                <w:b/>
                <w:sz w:val="24"/>
              </w:rPr>
              <w:t>水溶液）：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7-9</w:t>
            </w:r>
            <w:r>
              <w:rPr>
                <w:sz w:val="24"/>
              </w:rPr>
              <w:t xml:space="preserve">            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离子性：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阴离子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初沸点：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约</w:t>
            </w:r>
            <w:r>
              <w:rPr>
                <w:sz w:val="24"/>
              </w:rPr>
              <w:t>100</w:t>
            </w:r>
            <w:r>
              <w:rPr>
                <w:rFonts w:hint="eastAsia"/>
                <w:sz w:val="24"/>
              </w:rPr>
              <w:t>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闪点：</w:t>
            </w:r>
            <w:r>
              <w:rPr>
                <w:b/>
                <w:sz w:val="24"/>
              </w:rPr>
              <w:t xml:space="preserve">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蒸发速率：</w:t>
            </w:r>
            <w:r>
              <w:rPr>
                <w:b/>
                <w:sz w:val="24"/>
              </w:rPr>
              <w:t xml:space="preserve"> 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可燃性（固态、气态）：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燃烧值：</w:t>
            </w:r>
            <w:r>
              <w:rPr>
                <w:b/>
                <w:sz w:val="24"/>
              </w:rPr>
              <w:t xml:space="preserve">      </w:t>
            </w:r>
          </w:p>
        </w:tc>
        <w:tc>
          <w:tcPr>
            <w:tcW w:w="6277" w:type="dxa"/>
            <w:tcBorders>
              <w:top w:val="single" w:color="auto" w:sz="4" w:space="0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饱和蒸气压：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约</w:t>
            </w:r>
            <w:r>
              <w:rPr>
                <w:sz w:val="24"/>
              </w:rPr>
              <w:t>130hPa</w:t>
            </w:r>
            <w:r>
              <w:rPr>
                <w:rFonts w:hint="eastAsia"/>
                <w:sz w:val="24"/>
              </w:rPr>
              <w:t>在</w:t>
            </w:r>
            <w:r>
              <w:rPr>
                <w:sz w:val="24"/>
              </w:rPr>
              <w:t>50</w:t>
            </w:r>
            <w:r>
              <w:rPr>
                <w:rFonts w:hint="eastAsia"/>
                <w:sz w:val="24"/>
              </w:rPr>
              <w:t>℃</w:t>
            </w:r>
            <w:r>
              <w:rPr>
                <w:sz w:val="24"/>
              </w:rPr>
              <w:t xml:space="preserve"> 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相对蒸气密度：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密度：</w:t>
            </w:r>
            <w:r>
              <w:rPr>
                <w:b/>
                <w:sz w:val="24"/>
              </w:rPr>
              <w:t xml:space="preserve">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300" w:lineRule="auto"/>
              <w:rPr>
                <w:sz w:val="24"/>
                <w:vertAlign w:val="superscript"/>
              </w:rPr>
            </w:pPr>
            <w:r>
              <w:rPr>
                <w:rFonts w:hint="eastAsia"/>
                <w:sz w:val="24"/>
              </w:rPr>
              <w:t>1.0-1.1</w:t>
            </w:r>
            <w:r>
              <w:rPr>
                <w:sz w:val="24"/>
              </w:rPr>
              <w:t>g/cm</w:t>
            </w:r>
            <w:r>
              <w:rPr>
                <w:sz w:val="24"/>
                <w:vertAlign w:val="superscript"/>
              </w:rPr>
              <w:t xml:space="preserve">3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hAnsi="Arial" w:cs="Arial"/>
                <w:b/>
                <w:kern w:val="0"/>
                <w:sz w:val="24"/>
              </w:rPr>
              <w:t>水溶性：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完全混溶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hAnsi="Arial" w:cs="Arial"/>
                <w:b/>
                <w:kern w:val="0"/>
                <w:sz w:val="24"/>
              </w:rPr>
              <w:t>表面张力：</w:t>
            </w:r>
            <w:r>
              <w:rPr>
                <w:rFonts w:cs="Arial"/>
                <w:kern w:val="0"/>
                <w:sz w:val="24"/>
              </w:rPr>
              <w:t xml:space="preserve">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hAnsi="Arial" w:cs="Arial"/>
                <w:b/>
                <w:kern w:val="0"/>
                <w:sz w:val="24"/>
              </w:rPr>
              <w:t>辛醇</w:t>
            </w:r>
            <w:r>
              <w:rPr>
                <w:rFonts w:cs="Arial"/>
                <w:b/>
                <w:kern w:val="0"/>
                <w:sz w:val="24"/>
              </w:rPr>
              <w:t>/</w:t>
            </w:r>
            <w:r>
              <w:rPr>
                <w:rFonts w:hint="eastAsia" w:hAnsi="Arial" w:cs="Arial"/>
                <w:b/>
                <w:kern w:val="0"/>
                <w:sz w:val="24"/>
              </w:rPr>
              <w:t>水分配系数对数值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  <w:vertAlign w:val="subscript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top"/>
          </w:tcPr>
          <w:p>
            <w:pPr>
              <w:numPr>
                <w:ilvl w:val="0"/>
                <w:numId w:val="7"/>
              </w:numPr>
              <w:spacing w:line="300" w:lineRule="auto"/>
              <w:ind w:left="420" w:leftChars="0" w:hanging="420" w:firstLineChars="0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hAnsi="Arial" w:cs="Arial"/>
                <w:b/>
                <w:kern w:val="0"/>
                <w:sz w:val="24"/>
              </w:rPr>
              <w:t>自燃温度：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vAlign w:val="top"/>
          </w:tcPr>
          <w:p>
            <w:pPr>
              <w:numPr>
                <w:ilvl w:val="0"/>
                <w:numId w:val="7"/>
              </w:numPr>
              <w:spacing w:line="300" w:lineRule="auto"/>
              <w:ind w:left="420" w:leftChars="0" w:hanging="420" w:firstLineChars="0"/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Arial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hAnsi="Arial" w:cs="Arial"/>
                <w:b/>
                <w:kern w:val="0"/>
                <w:sz w:val="24"/>
              </w:rPr>
              <w:t>引燃温度：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Arial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hAnsi="Arial" w:cs="Arial"/>
                <w:b/>
                <w:kern w:val="0"/>
                <w:sz w:val="24"/>
              </w:rPr>
              <w:t>分解温度：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pStyle w:val="10"/>
              <w:numPr>
                <w:ilvl w:val="0"/>
                <w:numId w:val="7"/>
              </w:numPr>
              <w:spacing w:line="300" w:lineRule="auto"/>
              <w:ind w:firstLineChars="0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hAnsi="Arial" w:cs="Arial"/>
                <w:b/>
                <w:kern w:val="0"/>
                <w:sz w:val="24"/>
              </w:rPr>
              <w:t>动力粘度：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</w:tcPr>
          <w:p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＜</w:t>
            </w:r>
            <w:r>
              <w:rPr>
                <w:rFonts w:hint="eastAsia" w:cs="Arial"/>
                <w:kern w:val="0"/>
                <w:sz w:val="24"/>
                <w:lang w:val="en-US" w:eastAsia="zh-CN"/>
              </w:rPr>
              <w:t>25</w:t>
            </w:r>
            <w:r>
              <w:rPr>
                <w:rFonts w:hint="eastAsia" w:cs="Arial"/>
                <w:kern w:val="0"/>
                <w:sz w:val="24"/>
              </w:rPr>
              <w:t>0</w:t>
            </w:r>
            <w:r>
              <w:rPr>
                <w:rFonts w:cs="Arial"/>
                <w:kern w:val="0"/>
                <w:sz w:val="24"/>
              </w:rPr>
              <w:t>mPa.s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hAnsi="Arial" w:cs="Arial"/>
                <w:b/>
                <w:kern w:val="0"/>
                <w:sz w:val="24"/>
              </w:rPr>
              <w:t>爆炸特性：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</w:tcPr>
          <w:p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17"/>
              </w:tabs>
              <w:spacing w:line="300" w:lineRule="auto"/>
              <w:rPr>
                <w:b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 xml:space="preserve">9.20 </w:t>
            </w:r>
            <w:r>
              <w:rPr>
                <w:rFonts w:hint="eastAsia" w:hAnsi="Arial" w:cs="Arial"/>
                <w:b/>
                <w:kern w:val="0"/>
                <w:sz w:val="24"/>
              </w:rPr>
              <w:t>粉尘爆炸级别：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</w:tcPr>
          <w:p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938"/>
              </w:tabs>
              <w:spacing w:line="300" w:lineRule="auto"/>
              <w:rPr>
                <w:rFonts w:cs="Arial"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9.21</w:t>
            </w:r>
            <w:r>
              <w:rPr>
                <w:rFonts w:hint="eastAsia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cs="Arial"/>
                <w:b/>
                <w:kern w:val="0"/>
                <w:sz w:val="24"/>
              </w:rPr>
              <w:t>固体含量：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</w:tcPr>
          <w:p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30</w:t>
            </w:r>
            <w:r>
              <w:rPr>
                <w:rFonts w:hint="eastAsia"/>
                <w:sz w:val="24"/>
              </w:rPr>
              <w:t>±2</w:t>
            </w:r>
            <w:r>
              <w:rPr>
                <w:rFonts w:hint="eastAsia" w:cs="Arial"/>
                <w:kern w:val="0"/>
                <w:sz w:val="24"/>
              </w:rPr>
              <w:t>%</w:t>
            </w:r>
            <w:r>
              <w:rPr>
                <w:rFonts w:hint="eastAsia"/>
                <w:kern w:val="0"/>
                <w:sz w:val="24"/>
              </w:rPr>
              <w:t>（</w:t>
            </w:r>
            <w:r>
              <w:rPr>
                <w:kern w:val="0"/>
                <w:sz w:val="24"/>
              </w:rPr>
              <w:t>150</w:t>
            </w:r>
            <w:r>
              <w:rPr>
                <w:rFonts w:hint="eastAsia"/>
                <w:kern w:val="0"/>
                <w:sz w:val="24"/>
              </w:rPr>
              <w:t>℃，</w:t>
            </w:r>
            <w:r>
              <w:rPr>
                <w:rFonts w:hint="eastAsia"/>
                <w:kern w:val="0"/>
                <w:sz w:val="24"/>
                <w:lang w:val="en-US" w:eastAsia="zh-CN"/>
              </w:rPr>
              <w:t>30</w:t>
            </w:r>
            <w:r>
              <w:rPr>
                <w:kern w:val="0"/>
                <w:sz w:val="24"/>
              </w:rPr>
              <w:t>min</w:t>
            </w:r>
            <w:r>
              <w:rPr>
                <w:rFonts w:hint="eastAsia"/>
                <w:kern w:val="0"/>
                <w:sz w:val="24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spacing w:line="300" w:lineRule="auto"/>
              <w:rPr>
                <w:rFonts w:cs="Arial"/>
                <w:b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9.22</w:t>
            </w:r>
            <w:r>
              <w:rPr>
                <w:rFonts w:hint="eastAsia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cs="Arial"/>
                <w:b/>
                <w:kern w:val="0"/>
                <w:sz w:val="24"/>
              </w:rPr>
              <w:t>其他信息：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上述数据非产品指标，产品指标请参见产品技术信息表。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04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277" w:type="dxa"/>
            <w:tcBorders>
              <w:top w:val="single" w:color="auto" w:sz="4" w:space="0"/>
              <w:left w:val="nil"/>
              <w:bottom w:val="nil"/>
            </w:tcBorders>
          </w:tcPr>
          <w:p>
            <w:pPr>
              <w:spacing w:line="300" w:lineRule="auto"/>
              <w:ind w:left="-25" w:leftChars="-12" w:right="480" w:firstLine="26" w:firstLineChars="1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根据规范使用，不会发生分解。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/>
                <w:sz w:val="24"/>
              </w:rPr>
              <w:t>涂料在干燥</w:t>
            </w:r>
            <w:r>
              <w:rPr>
                <w:rFonts w:hint="eastAsia" w:hAnsi="Arial"/>
                <w:sz w:val="24"/>
                <w:lang w:val="en-US" w:eastAsia="zh-CN"/>
              </w:rPr>
              <w:t>/</w:t>
            </w:r>
            <w:r>
              <w:rPr>
                <w:rFonts w:hint="eastAsia" w:hAnsi="Arial"/>
                <w:sz w:val="24"/>
              </w:rPr>
              <w:t>固化时，释放出中和剂</w:t>
            </w:r>
            <w:r>
              <w:rPr>
                <w:rFonts w:hint="eastAsia" w:hAnsi="Arial"/>
                <w:sz w:val="24"/>
                <w:lang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正确储存或操作时，无危害反应。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l2br w:val="nil"/>
              <w:tr2bl w:val="nil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gridSpan w:val="2"/>
            <w:tcBorders>
              <w:tl2br w:val="nil"/>
              <w:tr2bl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该产品无可用的毒理学研究。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gridSpan w:val="2"/>
            <w:tcBorders>
              <w:tl2br w:val="nil"/>
              <w:tr2bl w:val="nil"/>
            </w:tcBorders>
          </w:tcPr>
          <w:p>
            <w:pPr>
              <w:spacing w:line="300" w:lineRule="auto"/>
              <w:ind w:left="34" w:leftChars="16" w:right="480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以下是</w:t>
            </w:r>
            <w:r>
              <w:rPr>
                <w:rFonts w:hint="eastAsia"/>
                <w:b w:val="0"/>
                <w:bCs/>
                <w:sz w:val="24"/>
                <w:lang w:val="en-US" w:eastAsia="zh-CN"/>
              </w:rPr>
              <w:t>N,N</w:t>
            </w:r>
            <w:r>
              <w:rPr>
                <w:rFonts w:hint="eastAsia" w:hAnsi="Arial"/>
                <w:sz w:val="24"/>
                <w:lang w:val="en-US" w:eastAsia="zh-CN"/>
              </w:rPr>
              <w:t>－</w:t>
            </w:r>
            <w:r>
              <w:rPr>
                <w:rFonts w:hint="eastAsia"/>
                <w:b w:val="0"/>
                <w:bCs/>
                <w:sz w:val="24"/>
              </w:rPr>
              <w:t>二甲基乙酰胺</w:t>
            </w:r>
            <w:r>
              <w:rPr>
                <w:rFonts w:hint="eastAsia" w:hAnsi="Arial"/>
                <w:b w:val="0"/>
                <w:bCs/>
                <w:sz w:val="24"/>
              </w:rPr>
              <w:t>毒理学</w:t>
            </w:r>
            <w:r>
              <w:rPr>
                <w:rFonts w:hint="eastAsia" w:hAnsi="Arial"/>
                <w:b w:val="0"/>
                <w:bCs/>
                <w:sz w:val="24"/>
                <w:lang w:val="en-US" w:eastAsia="zh-CN"/>
              </w:rPr>
              <w:t>数据</w:t>
            </w:r>
            <w:r>
              <w:rPr>
                <w:rFonts w:hint="eastAsia" w:hAnsi="Arial"/>
                <w:b w:val="0"/>
                <w:bCs/>
                <w:sz w:val="24"/>
              </w:rPr>
              <w:t>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急性毒性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经口</w:t>
            </w:r>
            <w:r>
              <w:rPr>
                <w:rFonts w:hint="eastAsia" w:hAnsi="Arial"/>
                <w:sz w:val="24"/>
                <w:lang w:eastAsia="zh-CN"/>
              </w:rPr>
              <w:t>：</w:t>
            </w:r>
            <w:r>
              <w:rPr>
                <w:rFonts w:hint="eastAsia"/>
                <w:sz w:val="24"/>
                <w:lang w:val="en-US" w:eastAsia="zh-CN"/>
              </w:rPr>
              <w:t>半数致死剂量（LD50）</w:t>
            </w:r>
            <w:r>
              <w:rPr>
                <w:rFonts w:hint="eastAsia" w:hAnsi="Arial"/>
                <w:sz w:val="24"/>
                <w:lang w:val="en-US" w:eastAsia="zh-CN"/>
              </w:rPr>
              <w:t>/</w:t>
            </w:r>
            <w:r>
              <w:rPr>
                <w:rFonts w:hint="eastAsia" w:hAnsi="Arial"/>
                <w:sz w:val="24"/>
              </w:rPr>
              <w:t>大鼠：</w:t>
            </w:r>
            <w:r>
              <w:rPr>
                <w:rFonts w:hint="eastAsia" w:hAnsi="Arial"/>
                <w:sz w:val="24"/>
                <w:lang w:val="en-US" w:eastAsia="zh-CN"/>
              </w:rPr>
              <w:t>3,000－6,000</w:t>
            </w:r>
            <w:r>
              <w:rPr>
                <w:sz w:val="24"/>
              </w:rPr>
              <w:t>mg/kg</w:t>
            </w:r>
          </w:p>
          <w:p>
            <w:pPr>
              <w:spacing w:line="300" w:lineRule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吸入：半数致死浓度（LC50）/1h/大鼠 雌性：8.81mg/l</w:t>
            </w:r>
          </w:p>
          <w:p>
            <w:pPr>
              <w:spacing w:line="300" w:lineRule="auto"/>
              <w:ind w:firstLine="720" w:firstLineChars="300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（此值仅用于有可吸入的颗粒形成的情况。）</w:t>
            </w:r>
          </w:p>
          <w:p>
            <w:pPr>
              <w:spacing w:line="300" w:lineRule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 xml:space="preserve">      半数致死浓度（LC50）/4h/大鼠 雌性：2.2mg/l</w:t>
            </w:r>
          </w:p>
          <w:p>
            <w:pPr>
              <w:spacing w:line="300" w:lineRule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经皮：</w:t>
            </w:r>
            <w:r>
              <w:rPr>
                <w:rFonts w:hint="eastAsia"/>
                <w:sz w:val="24"/>
                <w:lang w:val="en-US" w:eastAsia="zh-CN"/>
              </w:rPr>
              <w:t>半数致死剂量（LD50）</w:t>
            </w:r>
            <w:r>
              <w:rPr>
                <w:rFonts w:hint="eastAsia" w:hAnsi="Arial"/>
                <w:sz w:val="24"/>
                <w:lang w:val="en-US" w:eastAsia="zh-CN"/>
              </w:rPr>
              <w:t>/豚鼠</w:t>
            </w:r>
            <w:r>
              <w:rPr>
                <w:rFonts w:hint="eastAsia" w:hAnsi="Arial"/>
                <w:sz w:val="24"/>
              </w:rPr>
              <w:t>：</w:t>
            </w:r>
            <w:r>
              <w:rPr>
                <w:rFonts w:hint="eastAsia" w:hAnsi="Arial"/>
                <w:sz w:val="24"/>
                <w:lang w:val="en-US" w:eastAsia="zh-CN"/>
              </w:rPr>
              <w:t>＜940</w:t>
            </w:r>
            <w:r>
              <w:rPr>
                <w:sz w:val="24"/>
              </w:rPr>
              <w:t>mg/kg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主要皮肤刺激性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物种：兔子</w:t>
            </w:r>
          </w:p>
          <w:p>
            <w:pPr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分类：刺激皮肤</w:t>
            </w:r>
          </w:p>
          <w:p>
            <w:pPr>
              <w:spacing w:line="300" w:lineRule="auto"/>
              <w:ind w:right="48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结果：轻度的皮肤刺激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主要粘膜刺激性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物种：兔子</w:t>
            </w:r>
          </w:p>
          <w:p>
            <w:pPr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分类：刺激眼睛</w:t>
            </w:r>
          </w:p>
          <w:p>
            <w:pPr>
              <w:spacing w:line="300" w:lineRule="auto"/>
              <w:ind w:right="480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结果：轻度的眼睛刺激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7" w:hRule="atLeast"/>
        </w:trPr>
        <w:tc>
          <w:tcPr>
            <w:tcW w:w="3519" w:type="dxa"/>
            <w:vMerge w:val="restart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致敏性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物种：豚鼠</w:t>
            </w:r>
          </w:p>
          <w:p>
            <w:pPr>
              <w:spacing w:line="300" w:lineRule="auto"/>
              <w:ind w:right="48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分类：不是皮肤过敏物质</w:t>
            </w:r>
          </w:p>
          <w:p>
            <w:pPr>
              <w:spacing w:line="300" w:lineRule="auto"/>
              <w:ind w:right="48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结果：未引起实验室动物过敏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5" w:hRule="atLeast"/>
        </w:trPr>
        <w:tc>
          <w:tcPr>
            <w:tcW w:w="3519" w:type="dxa"/>
            <w:vMerge w:val="continue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int="eastAsia" w:hAnsi="Arial"/>
                <w:b/>
                <w:sz w:val="24"/>
              </w:rPr>
            </w:pPr>
          </w:p>
        </w:tc>
        <w:tc>
          <w:tcPr>
            <w:tcW w:w="6262" w:type="dxa"/>
            <w:tcBorders>
              <w:tl2br w:val="nil"/>
              <w:tr2bl w:val="nil"/>
            </w:tcBorders>
            <w:vAlign w:val="top"/>
          </w:tcPr>
          <w:p>
            <w:pPr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物种：人类</w:t>
            </w:r>
          </w:p>
          <w:p>
            <w:pPr>
              <w:spacing w:line="300" w:lineRule="auto"/>
              <w:ind w:right="48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分类：不是皮肤过敏物质</w:t>
            </w:r>
          </w:p>
          <w:p>
            <w:pPr>
              <w:spacing w:line="300" w:lineRule="auto"/>
              <w:ind w:right="48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结果：对志愿者做的皮肤接触试验证明没有过敏特性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致突变性：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00" w:lineRule="auto"/>
              <w:ind w:left="0" w:leftChars="0"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在细菌细胞培养中没有引起基因损害。在哺乳类细胞培养中没有引起基因损害。有证据认为此物质不会在动物中引起基因损伤。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致癌性：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在动物试验中未见致癌影响。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生殖毒性：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动物试验表明无生殖毒性。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动物实验表明在低于那些引起母体中毒的量时，对胚胎有影响。降低了胚胎胎儿的成活力，胎儿发育缓慢（变异），胎儿畸形。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特异性靶器官系统毒性（一次接触/反复接触）：</w:t>
            </w:r>
          </w:p>
        </w:tc>
        <w:tc>
          <w:tcPr>
            <w:tcW w:w="6262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无数据资料。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吸入危险：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无数据资料。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3519" w:type="dxa"/>
            <w:vMerge w:val="restart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附加信息：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饮酒精饮料会加剧毒性影响。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9" w:hRule="atLeast"/>
        </w:trPr>
        <w:tc>
          <w:tcPr>
            <w:tcW w:w="3519" w:type="dxa"/>
            <w:vMerge w:val="continue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int="eastAsia" w:hAnsi="Arial"/>
                <w:b/>
                <w:sz w:val="24"/>
                <w:lang w:val="en-US" w:eastAsia="zh-CN"/>
              </w:rPr>
            </w:pP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重复剂量中毒：经口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病理变化：胃，睾丸，肝，肾，红血球异常减少。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9" w:hRule="atLeast"/>
        </w:trPr>
        <w:tc>
          <w:tcPr>
            <w:tcW w:w="3519" w:type="dxa"/>
            <w:vMerge w:val="continue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int="eastAsia" w:hAnsi="Arial"/>
                <w:b/>
                <w:sz w:val="24"/>
                <w:lang w:val="en-US" w:eastAsia="zh-CN"/>
              </w:rPr>
            </w:pP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重复剂量中毒：吸入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病理变化：肾、肝影响，视网膜损伤。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nil"/>
            </w:tcBorders>
            <w:shd w:val="clear" w:color="auto" w:fill="auto"/>
          </w:tcPr>
          <w:p>
            <w:pPr>
              <w:spacing w:line="300" w:lineRule="auto"/>
              <w:ind w:right="480"/>
              <w:rPr>
                <w:b/>
                <w:sz w:val="24"/>
                <w:shd w:val="clear" w:color="auto" w:fill="auto"/>
              </w:rPr>
            </w:pPr>
            <w:r>
              <w:rPr>
                <w:rFonts w:hint="eastAsia" w:hAnsi="Arial"/>
                <w:sz w:val="24"/>
                <w:shd w:val="clear" w:color="auto" w:fill="auto"/>
              </w:rPr>
              <w:t>该产品无可用的生态毒理学研究。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nil"/>
              <w:bottom w:val="nil"/>
            </w:tcBorders>
            <w:shd w:val="clear" w:color="auto" w:fill="auto"/>
          </w:tcPr>
          <w:p>
            <w:pPr>
              <w:spacing w:line="300" w:lineRule="auto"/>
              <w:ind w:right="480"/>
              <w:rPr>
                <w:rFonts w:hint="eastAsia" w:hAnsi="Arial"/>
                <w:sz w:val="24"/>
                <w:shd w:val="clear" w:color="auto" w:fill="auto"/>
              </w:rPr>
            </w:pPr>
            <w:r>
              <w:rPr>
                <w:rFonts w:hint="eastAsia" w:hAnsi="Arial"/>
                <w:sz w:val="24"/>
                <w:shd w:val="clear" w:color="auto" w:fill="auto"/>
                <w:lang w:val="en-US" w:eastAsia="zh-CN"/>
              </w:rPr>
              <w:t>以下是</w:t>
            </w: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N,N</w:t>
            </w:r>
            <w:r>
              <w:rPr>
                <w:rFonts w:hint="eastAsia" w:hAnsi="Arial"/>
                <w:sz w:val="24"/>
                <w:shd w:val="clear" w:color="auto" w:fill="auto"/>
                <w:lang w:val="en-US" w:eastAsia="zh-CN"/>
              </w:rPr>
              <w:t>－</w:t>
            </w:r>
            <w:r>
              <w:rPr>
                <w:rFonts w:hint="eastAsia"/>
                <w:b w:val="0"/>
                <w:bCs/>
                <w:sz w:val="24"/>
                <w:shd w:val="clear" w:color="auto" w:fill="auto"/>
              </w:rPr>
              <w:t>二甲基乙酰胺</w:t>
            </w: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生态</w:t>
            </w:r>
            <w:r>
              <w:rPr>
                <w:rFonts w:hint="eastAsia" w:hAnsi="Arial"/>
                <w:b w:val="0"/>
                <w:bCs/>
                <w:sz w:val="24"/>
                <w:shd w:val="clear" w:color="auto" w:fill="auto"/>
              </w:rPr>
              <w:t>毒理学</w:t>
            </w:r>
            <w:r>
              <w:rPr>
                <w:rFonts w:hint="eastAsia" w:hAnsi="Arial"/>
                <w:b w:val="0"/>
                <w:bCs/>
                <w:sz w:val="24"/>
                <w:shd w:val="clear" w:color="auto" w:fill="auto"/>
                <w:lang w:val="en-US" w:eastAsia="zh-CN"/>
              </w:rPr>
              <w:t>数据</w:t>
            </w:r>
            <w:r>
              <w:rPr>
                <w:rFonts w:hint="eastAsia" w:hAnsi="Arial"/>
                <w:b w:val="0"/>
                <w:bCs/>
                <w:sz w:val="24"/>
                <w:shd w:val="clear" w:color="auto" w:fill="auto"/>
              </w:rPr>
              <w:t>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vMerge w:val="restart"/>
            <w:tcBorders>
              <w:top w:val="nil"/>
              <w:right w:val="nil"/>
            </w:tcBorders>
            <w:vAlign w:val="top"/>
          </w:tcPr>
          <w:p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top"/>
          </w:tcPr>
          <w:p>
            <w:pPr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对鱼类的毒性：</w:t>
            </w:r>
          </w:p>
          <w:p>
            <w:pPr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rPr>
                <w:rFonts w:hint="default" w:hAnsi="Arial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半数致死浓度（LC50）/96h/黑头呆鱼：1</w:t>
            </w:r>
            <w:r>
              <w:rPr>
                <w:rFonts w:hint="eastAsia" w:hAnsi="Arial"/>
                <w:sz w:val="24"/>
                <w:lang w:val="en-US" w:eastAsia="zh-CN"/>
              </w:rPr>
              <w:t>,</w:t>
            </w: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500mg/l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vMerge w:val="continue"/>
            <w:tcBorders>
              <w:bottom w:val="nil"/>
              <w:right w:val="nil"/>
            </w:tcBorders>
            <w:vAlign w:val="top"/>
          </w:tcPr>
          <w:p>
            <w:pPr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ind w:leftChars="-283"/>
              <w:rPr>
                <w:rFonts w:hint="eastAsia" w:hAnsi="Arial"/>
                <w:b/>
                <w:sz w:val="24"/>
              </w:rPr>
            </w:pP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top"/>
          </w:tcPr>
          <w:p>
            <w:pPr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其他：</w:t>
            </w:r>
          </w:p>
          <w:p>
            <w:pPr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半数致死有效浓度（EC50）/72h/藻类：＞500mg/l</w:t>
            </w:r>
          </w:p>
          <w:p>
            <w:pPr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rPr>
                <w:rFonts w:hint="default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半数致死有效浓度（EC50）/48h/大型溞：＞500mg/l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nil"/>
              <w:bottom w:val="nil"/>
            </w:tcBorders>
          </w:tcPr>
          <w:p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持久性和降解性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77" w:type="dxa"/>
            <w:tcBorders>
              <w:top w:val="nil"/>
              <w:bottom w:val="nil"/>
            </w:tcBorders>
          </w:tcPr>
          <w:p>
            <w:pPr>
              <w:spacing w:line="300" w:lineRule="auto"/>
              <w:ind w:left="1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无数据资料。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nil"/>
              <w:bottom w:val="single" w:color="auto" w:sz="4" w:space="0"/>
            </w:tcBorders>
          </w:tcPr>
          <w:p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其他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不利的影响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77" w:type="dxa"/>
            <w:tcBorders>
              <w:top w:val="nil"/>
              <w:bottom w:val="single" w:color="auto" w:sz="4" w:space="0"/>
            </w:tcBorders>
          </w:tcPr>
          <w:p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无数据资料。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textAlignment w:val="auto"/>
              <w:rPr>
                <w:rFonts w:hint="eastAsia" w:hAnsi="Arial"/>
                <w:sz w:val="24"/>
              </w:rPr>
            </w:pPr>
            <w:r>
              <w:rPr>
                <w:rFonts w:hint="eastAsia" w:hAnsi="Arial"/>
                <w:sz w:val="24"/>
              </w:rPr>
              <w:t>必需遵守适用的国标、国家或当地法规进行废弃。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在欧盟领域内废弃，应根据欧洲废弃物分类（</w:t>
            </w:r>
            <w:r>
              <w:rPr>
                <w:sz w:val="24"/>
              </w:rPr>
              <w:t>EWC</w:t>
            </w:r>
            <w:r>
              <w:rPr>
                <w:rFonts w:hint="eastAsia" w:hAnsi="Arial"/>
                <w:sz w:val="24"/>
              </w:rPr>
              <w:t>）的适当法规。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tabs>
                <w:tab w:val="left" w:pos="3275"/>
              </w:tabs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尽可能将容器倒空（例如经倾倒，刮擦或排干直至</w:t>
            </w:r>
            <w:r>
              <w:rPr>
                <w:rFonts w:hint="eastAsia"/>
                <w:sz w:val="24"/>
              </w:rPr>
              <w:t>“</w:t>
            </w:r>
            <w:r>
              <w:rPr>
                <w:rFonts w:hint="eastAsia" w:hAnsi="Arial"/>
                <w:sz w:val="24"/>
              </w:rPr>
              <w:t>滴干</w:t>
            </w:r>
            <w:r>
              <w:rPr>
                <w:rFonts w:hint="eastAsia"/>
                <w:sz w:val="24"/>
              </w:rPr>
              <w:t>”</w:t>
            </w:r>
            <w:r>
              <w:rPr>
                <w:rFonts w:hint="eastAsia" w:hAnsi="Arial"/>
                <w:sz w:val="24"/>
              </w:rPr>
              <w:t>）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可根据化学工业现存的回收方案送往适当的收集点处理。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容器应按照国家法令和环境相关法规进行回收。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不能将废弃物通过废水排放。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single" w:color="auto" w:sz="4" w:space="0"/>
            </w:tcBorders>
          </w:tcPr>
          <w:p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277" w:type="dxa"/>
            <w:tcBorders>
              <w:top w:val="single" w:color="auto" w:sz="4" w:space="0"/>
            </w:tcBorders>
          </w:tcPr>
          <w:p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非危险品陆运输方式。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</w:tcPr>
          <w:p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277" w:type="dxa"/>
          </w:tcPr>
          <w:p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非危险品海运方式。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</w:tcPr>
          <w:p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277" w:type="dxa"/>
          </w:tcPr>
          <w:p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非危险品运输方式。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504" w:type="dxa"/>
            <w:tcBorders>
              <w:bottom w:val="single" w:color="auto" w:sz="4" w:space="0"/>
            </w:tcBorders>
          </w:tcPr>
          <w:p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277" w:type="dxa"/>
            <w:tcBorders>
              <w:bottom w:val="single" w:color="auto" w:sz="4" w:space="0"/>
            </w:tcBorders>
          </w:tcPr>
          <w:p>
            <w:pPr>
              <w:spacing w:line="300" w:lineRule="auto"/>
              <w:ind w:left="34"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非危险货物。</w:t>
            </w:r>
          </w:p>
          <w:p>
            <w:pPr>
              <w:spacing w:line="300" w:lineRule="auto"/>
              <w:ind w:left="34" w:right="480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避免</w:t>
            </w:r>
            <w:r>
              <w:rPr>
                <w:rFonts w:hint="eastAsia" w:hAnsi="Arial"/>
                <w:sz w:val="24"/>
              </w:rPr>
              <w:t>温度高于</w:t>
            </w:r>
            <w:r>
              <w:rPr>
                <w:sz w:val="24"/>
              </w:rPr>
              <w:t>+</w:t>
            </w:r>
            <w:r>
              <w:rPr>
                <w:rFonts w:hint="eastAsia"/>
                <w:sz w:val="24"/>
                <w:lang w:val="en-US" w:eastAsia="zh-CN"/>
              </w:rPr>
              <w:t>35</w:t>
            </w:r>
            <w:r>
              <w:rPr>
                <w:rFonts w:hint="eastAsia"/>
                <w:sz w:val="24"/>
              </w:rPr>
              <w:t>℃，温度不可低于</w:t>
            </w:r>
            <w:r>
              <w:rPr>
                <w:rFonts w:hint="eastAsia"/>
                <w:sz w:val="24"/>
                <w:lang w:val="en-US" w:eastAsia="zh-CN"/>
              </w:rPr>
              <w:t>+</w:t>
            </w: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℃。</w:t>
            </w:r>
          </w:p>
          <w:p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远离食物、酸和碱。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c>
          <w:tcPr>
            <w:tcW w:w="9781" w:type="dxa"/>
            <w:tcBorders>
              <w:tl2br w:val="nil"/>
              <w:tr2bl w:val="nil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物质或混合物的相关安全、健康和环保法律法规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危险化学品安全管理条例，国务院令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  <w:t>591</w:t>
            </w:r>
            <w:r>
              <w:rPr>
                <w:rFonts w:hint="eastAsia" w:cs="Arial"/>
                <w:bCs/>
                <w:kern w:val="0"/>
                <w:sz w:val="24"/>
              </w:rPr>
              <w:t>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GB/T 16483 </w:t>
            </w:r>
            <w:r>
              <w:rPr>
                <w:rFonts w:hint="eastAsia" w:cs="Arial"/>
                <w:bCs/>
                <w:kern w:val="0"/>
                <w:sz w:val="24"/>
              </w:rPr>
              <w:t>化学品安全技术说明书内容和项目顺序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13690 </w:t>
            </w:r>
            <w:r>
              <w:rPr>
                <w:rFonts w:hint="eastAsia" w:cs="Arial"/>
                <w:bCs/>
                <w:kern w:val="0"/>
                <w:sz w:val="24"/>
              </w:rPr>
              <w:t>化学品分类和危险性公示通则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  <w:t>30000.2-29 化学品分类和标签规范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  <w:t>GB 15258 化学品安全标签编写规定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c>
          <w:tcPr>
            <w:tcW w:w="9781" w:type="dxa"/>
            <w:tcBorders>
              <w:top w:val="nil"/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503" w:right="1077" w:bottom="1418" w:left="1077" w:header="851" w:footer="73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>
          <w:pPr>
            <w:pStyle w:val="2"/>
            <w:jc w:val="both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>广州冠志新材料科技有限公司  PU-2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02A</w:t>
          </w:r>
          <w:r>
            <w:rPr>
              <w:rFonts w:hint="eastAsia"/>
              <w:kern w:val="0"/>
              <w:sz w:val="21"/>
              <w:szCs w:val="21"/>
            </w:rPr>
            <w:t>-MSDS</w:t>
          </w:r>
        </w:p>
      </w:tc>
      <w:tc>
        <w:tcPr>
          <w:tcW w:w="4984" w:type="dxa"/>
        </w:tcPr>
        <w:p>
          <w:pPr>
            <w:ind w:firstLine="8730" w:firstLineChars="4850"/>
            <w:jc w:val="right"/>
            <w:rPr>
              <w:kern w:val="0"/>
              <w:sz w:val="20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P</w:t>
          </w:r>
          <w:r>
            <w:rPr>
              <w:rFonts w:hint="eastAsia"/>
              <w:kern w:val="0"/>
              <w:sz w:val="20"/>
              <w:szCs w:val="21"/>
            </w:rPr>
            <w:t>修订日期：</w:t>
          </w:r>
          <w:r>
            <w:rPr>
              <w:rFonts w:hint="eastAsia"/>
              <w:kern w:val="0"/>
              <w:sz w:val="20"/>
              <w:szCs w:val="21"/>
              <w:lang w:eastAsia="zh-CN"/>
            </w:rPr>
            <w:t>2023-9-27</w:t>
          </w: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  </w:t>
          </w:r>
        </w:p>
      </w:tc>
    </w:tr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3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</w:t>
    </w:r>
    <w:r>
      <w:rPr>
        <w:rFonts w:hint="eastAsia" w:cs="Arial" w:asciiTheme="majorEastAsia" w:hAnsiTheme="majorEastAsia" w:eastAsiaTheme="majorEastAsia"/>
        <w:b/>
        <w:sz w:val="44"/>
        <w:szCs w:val="44"/>
      </w:rPr>
      <w:t>物料安全数据表</w:t>
    </w:r>
  </w:p>
  <w:p>
    <w:pPr>
      <w:wordWrap w:val="0"/>
      <w:jc w:val="right"/>
      <w:rPr>
        <w:rFonts w:ascii="Arial" w:hAnsi="Arial" w:eastAsia="楷体_GB2312"/>
        <w:sz w:val="18"/>
        <w:szCs w:val="18"/>
      </w:rPr>
    </w:pPr>
    <w:r>
      <w:rPr>
        <w:rFonts w:ascii="Arial" w:eastAsia="楷体_GB2312"/>
        <w:sz w:val="18"/>
        <w:szCs w:val="18"/>
      </w:rPr>
      <w:t>Version</w:t>
    </w:r>
    <w:r>
      <w:rPr>
        <w:rFonts w:hint="eastAsia" w:ascii="Arial" w:eastAsia="楷体_GB2312"/>
        <w:sz w:val="18"/>
        <w:szCs w:val="18"/>
      </w:rPr>
      <w:t>：</w:t>
    </w:r>
    <w:r>
      <w:rPr>
        <w:rFonts w:ascii="Arial" w:hAnsi="Arial" w:eastAsia="楷体_GB2312"/>
        <w:sz w:val="18"/>
        <w:szCs w:val="18"/>
      </w:rPr>
      <w:t>1.0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Ex>
      <w:tc>
        <w:tcPr>
          <w:tcW w:w="9781" w:type="dxa"/>
          <w:shd w:val="clear" w:color="auto" w:fill="D9D9D9"/>
        </w:tcPr>
        <w:p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eastAsia="楷体_GB2312"/>
              <w:b/>
              <w:sz w:val="36"/>
              <w:szCs w:val="36"/>
            </w:rPr>
            <w:t>PU-</w:t>
          </w: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202A</w:t>
          </w:r>
        </w:p>
      </w:tc>
    </w:tr>
  </w:tbl>
  <w:p>
    <w:pPr>
      <w:jc w:val="left"/>
      <w:rPr>
        <w:rFonts w:ascii="Arial" w:hAnsi="Arial" w:eastAsia="楷体_GB2312"/>
        <w:color w:val="7F7F7F"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10568C"/>
    <w:multiLevelType w:val="multilevel"/>
    <w:tmpl w:val="0D10568C"/>
    <w:lvl w:ilvl="0" w:tentative="0">
      <w:start w:val="14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20575178"/>
    <w:multiLevelType w:val="multilevel"/>
    <w:tmpl w:val="20575178"/>
    <w:lvl w:ilvl="0" w:tentative="0">
      <w:start w:val="1"/>
      <w:numFmt w:val="decimal"/>
      <w:lvlText w:val="9.%1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2">
    <w:nsid w:val="357A479D"/>
    <w:multiLevelType w:val="multilevel"/>
    <w:tmpl w:val="357A479D"/>
    <w:lvl w:ilvl="0" w:tentative="0">
      <w:start w:val="1"/>
      <w:numFmt w:val="decimal"/>
      <w:lvlText w:val="5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3">
    <w:nsid w:val="3A5C1E05"/>
    <w:multiLevelType w:val="multilevel"/>
    <w:tmpl w:val="3A5C1E05"/>
    <w:lvl w:ilvl="0" w:tentative="0">
      <w:start w:val="12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4">
    <w:nsid w:val="429A432A"/>
    <w:multiLevelType w:val="multilevel"/>
    <w:tmpl w:val="429A432A"/>
    <w:lvl w:ilvl="0" w:tentative="0">
      <w:start w:val="11"/>
      <w:numFmt w:val="decimal"/>
      <w:lvlText w:val="%1"/>
      <w:lvlJc w:val="left"/>
      <w:pPr>
        <w:tabs>
          <w:tab w:val="left" w:pos="645"/>
        </w:tabs>
        <w:ind w:left="645" w:hanging="645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645"/>
        </w:tabs>
        <w:ind w:left="645" w:hanging="645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5">
    <w:nsid w:val="50075728"/>
    <w:multiLevelType w:val="multilevel"/>
    <w:tmpl w:val="50075728"/>
    <w:lvl w:ilvl="0" w:tentative="0">
      <w:start w:val="1"/>
      <w:numFmt w:val="decimal"/>
      <w:lvlText w:val="10.%1"/>
      <w:lvlJc w:val="left"/>
      <w:pPr>
        <w:ind w:left="84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ind w:left="126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68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210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52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94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336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78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4200" w:hanging="420"/>
      </w:pPr>
      <w:rPr>
        <w:rFonts w:cs="Times New Roman"/>
      </w:rPr>
    </w:lvl>
  </w:abstractNum>
  <w:abstractNum w:abstractNumId="6">
    <w:nsid w:val="5F5B032F"/>
    <w:multiLevelType w:val="multilevel"/>
    <w:tmpl w:val="5F5B032F"/>
    <w:lvl w:ilvl="0" w:tentative="0">
      <w:start w:val="1"/>
      <w:numFmt w:val="decimal"/>
      <w:lvlText w:val="%1"/>
      <w:lvlJc w:val="left"/>
      <w:pPr>
        <w:tabs>
          <w:tab w:val="left" w:pos="660"/>
        </w:tabs>
        <w:ind w:left="660" w:hanging="66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660"/>
        </w:tabs>
        <w:ind w:left="660" w:hanging="66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7">
    <w:nsid w:val="5FF5793B"/>
    <w:multiLevelType w:val="multilevel"/>
    <w:tmpl w:val="5FF5793B"/>
    <w:lvl w:ilvl="0" w:tentative="0">
      <w:start w:val="1"/>
      <w:numFmt w:val="decimal"/>
      <w:lvlText w:val="4.%1."/>
      <w:lvlJc w:val="left"/>
      <w:pPr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8">
    <w:nsid w:val="6D6B60C3"/>
    <w:multiLevelType w:val="multilevel"/>
    <w:tmpl w:val="6D6B60C3"/>
    <w:lvl w:ilvl="0" w:tentative="0">
      <w:start w:val="1"/>
      <w:numFmt w:val="decimal"/>
      <w:lvlText w:val="6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9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0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6"/>
  </w:num>
  <w:num w:numId="2">
    <w:abstractNumId w:val="10"/>
  </w:num>
  <w:num w:numId="3">
    <w:abstractNumId w:val="7"/>
  </w:num>
  <w:num w:numId="4">
    <w:abstractNumId w:val="2"/>
  </w:num>
  <w:num w:numId="5">
    <w:abstractNumId w:val="8"/>
  </w:num>
  <w:num w:numId="6">
    <w:abstractNumId w:val="9"/>
  </w:num>
  <w:num w:numId="7">
    <w:abstractNumId w:val="1"/>
  </w:num>
  <w:num w:numId="8">
    <w:abstractNumId w:val="5"/>
  </w:num>
  <w:num w:numId="9">
    <w:abstractNumId w:val="4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yZDE2MzdmZjRiMjBhMjYzZmE3MGFmMTY4N2ZhOTAifQ=="/>
  </w:docVars>
  <w:rsids>
    <w:rsidRoot w:val="00172A27"/>
    <w:rsid w:val="00054D63"/>
    <w:rsid w:val="000A232D"/>
    <w:rsid w:val="000F335C"/>
    <w:rsid w:val="00140D6D"/>
    <w:rsid w:val="00147ACA"/>
    <w:rsid w:val="0019663D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47806"/>
    <w:rsid w:val="0035626C"/>
    <w:rsid w:val="00376077"/>
    <w:rsid w:val="00382604"/>
    <w:rsid w:val="003F27B9"/>
    <w:rsid w:val="004004B5"/>
    <w:rsid w:val="004148B3"/>
    <w:rsid w:val="00452D86"/>
    <w:rsid w:val="00456CDB"/>
    <w:rsid w:val="004A3278"/>
    <w:rsid w:val="004D25D8"/>
    <w:rsid w:val="005F347E"/>
    <w:rsid w:val="00606522"/>
    <w:rsid w:val="006273B6"/>
    <w:rsid w:val="006321EB"/>
    <w:rsid w:val="006861E3"/>
    <w:rsid w:val="00701FAF"/>
    <w:rsid w:val="00853404"/>
    <w:rsid w:val="008D3B67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9634F"/>
    <w:rsid w:val="01147F10"/>
    <w:rsid w:val="01C0201B"/>
    <w:rsid w:val="02E743F3"/>
    <w:rsid w:val="054E7A62"/>
    <w:rsid w:val="0828271D"/>
    <w:rsid w:val="084A705D"/>
    <w:rsid w:val="0A7463D1"/>
    <w:rsid w:val="0B542115"/>
    <w:rsid w:val="0B8C5E7D"/>
    <w:rsid w:val="0C2C19E1"/>
    <w:rsid w:val="0D9A4456"/>
    <w:rsid w:val="0F50181E"/>
    <w:rsid w:val="114255F5"/>
    <w:rsid w:val="120678DF"/>
    <w:rsid w:val="13DD4352"/>
    <w:rsid w:val="15440D4D"/>
    <w:rsid w:val="15812A45"/>
    <w:rsid w:val="175E6182"/>
    <w:rsid w:val="18276A54"/>
    <w:rsid w:val="1A027D3D"/>
    <w:rsid w:val="1A0461C6"/>
    <w:rsid w:val="1A483201"/>
    <w:rsid w:val="1DCD4FA0"/>
    <w:rsid w:val="1EEC29D4"/>
    <w:rsid w:val="226D101D"/>
    <w:rsid w:val="22703398"/>
    <w:rsid w:val="24976248"/>
    <w:rsid w:val="24E542B2"/>
    <w:rsid w:val="25D47A2C"/>
    <w:rsid w:val="26A03147"/>
    <w:rsid w:val="298E637F"/>
    <w:rsid w:val="2AA33091"/>
    <w:rsid w:val="2AA34CC0"/>
    <w:rsid w:val="2C6E44FB"/>
    <w:rsid w:val="30481C3A"/>
    <w:rsid w:val="306A3DC2"/>
    <w:rsid w:val="331F3435"/>
    <w:rsid w:val="33E971EE"/>
    <w:rsid w:val="35F7037B"/>
    <w:rsid w:val="3604449F"/>
    <w:rsid w:val="36327236"/>
    <w:rsid w:val="385E6AE5"/>
    <w:rsid w:val="390D26CF"/>
    <w:rsid w:val="3C0C4A9A"/>
    <w:rsid w:val="3CB43D7B"/>
    <w:rsid w:val="3E1D5959"/>
    <w:rsid w:val="3FAC530C"/>
    <w:rsid w:val="405D22BA"/>
    <w:rsid w:val="42582D38"/>
    <w:rsid w:val="45DA7122"/>
    <w:rsid w:val="464D6940"/>
    <w:rsid w:val="4EB83E58"/>
    <w:rsid w:val="4F5F47A8"/>
    <w:rsid w:val="504658E8"/>
    <w:rsid w:val="5065451B"/>
    <w:rsid w:val="511D06C5"/>
    <w:rsid w:val="51FA0FC7"/>
    <w:rsid w:val="52230864"/>
    <w:rsid w:val="532B36BB"/>
    <w:rsid w:val="54693859"/>
    <w:rsid w:val="551C16C9"/>
    <w:rsid w:val="56996407"/>
    <w:rsid w:val="569B6D5B"/>
    <w:rsid w:val="5ABE4B3D"/>
    <w:rsid w:val="5AC002EC"/>
    <w:rsid w:val="5BF41AFE"/>
    <w:rsid w:val="5CA8408B"/>
    <w:rsid w:val="5D6C3433"/>
    <w:rsid w:val="60781EF7"/>
    <w:rsid w:val="60E4057C"/>
    <w:rsid w:val="614F69AC"/>
    <w:rsid w:val="637D0A8C"/>
    <w:rsid w:val="63F60908"/>
    <w:rsid w:val="64B21DE4"/>
    <w:rsid w:val="67010372"/>
    <w:rsid w:val="6B9E64FB"/>
    <w:rsid w:val="6EC16FCD"/>
    <w:rsid w:val="6ED91EE1"/>
    <w:rsid w:val="6FDF350B"/>
    <w:rsid w:val="720B23B8"/>
    <w:rsid w:val="76293FCA"/>
    <w:rsid w:val="763B629A"/>
    <w:rsid w:val="7652592F"/>
    <w:rsid w:val="767A20D4"/>
    <w:rsid w:val="77990D78"/>
    <w:rsid w:val="7B89575E"/>
    <w:rsid w:val="7CD5616B"/>
    <w:rsid w:val="7E3C523D"/>
    <w:rsid w:val="7F727691"/>
    <w:rsid w:val="7FB11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黑体" w:hAnsi="黑体" w:eastAsia="黑体" w:cs="Times New Roman"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2942</Words>
  <Characters>3405</Characters>
  <Lines>18</Lines>
  <Paragraphs>5</Paragraphs>
  <TotalTime>9</TotalTime>
  <ScaleCrop>false</ScaleCrop>
  <LinksUpToDate>false</LinksUpToDate>
  <CharactersWithSpaces>3597</CharactersWithSpaces>
  <Application>WPS Office_11.1.0.15319_F1E327BC-269C-435d-A152-05C5408002CA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2015-06-04T02:34:00Z</dcterms:created>
  <dc:creator>Windows 用户</dc:creator>
  <cp:lastModifiedBy>刘桂芳</cp:lastModifiedBy>
  <cp:lastPrinted>2015-06-04T07:20:00Z</cp:lastPrinted>
  <dcterms:modified xsi:type="dcterms:W3CDTF">2023-09-27T06:47:44Z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2052-11.1.0.15319</vt:lpwstr>
  </property>
  <property fmtid="{D5CDD505-2E9C-101B-9397-08002B2CF9AE}" pid="3" name="ICV">
    <vt:lpwstr>52F4EC2326F249569777C2D4A6AD892B_12</vt:lpwstr>
  </property>
</Properties>
</file>