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1.</w:t>
            </w:r>
            <w:r>
              <w:rPr>
                <w:rFonts w:hint="eastAsia" w:hAnsi="Arial"/>
                <w:b/>
                <w:sz w:val="24"/>
              </w:rPr>
              <w:t>物料及供应商标识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" w:hRule="atLeast"/>
        </w:trPr>
        <w:tc>
          <w:tcPr>
            <w:tcW w:w="3519" w:type="dxa"/>
            <w:tcBorders>
              <w:bottom w:val="nil"/>
              <w:right w:val="nil"/>
            </w:tcBorders>
          </w:tcPr>
          <w:p>
            <w:pPr>
              <w:numPr>
                <w:ilvl w:val="1"/>
                <w:numId w:val="1"/>
              </w:numPr>
              <w:tabs>
                <w:tab w:val="left" w:pos="459"/>
                <w:tab w:val="clear" w:pos="660"/>
              </w:tabs>
              <w:spacing w:line="300" w:lineRule="auto"/>
              <w:ind w:left="523" w:hanging="523" w:hangingChars="217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产品名称：</w:t>
            </w:r>
          </w:p>
        </w:tc>
        <w:tc>
          <w:tcPr>
            <w:tcW w:w="6262" w:type="dxa"/>
            <w:tcBorders>
              <w:left w:val="nil"/>
              <w:bottom w:val="nil"/>
            </w:tcBorders>
            <w:vAlign w:val="center"/>
          </w:tcPr>
          <w:p>
            <w:pPr>
              <w:spacing w:line="300" w:lineRule="auto"/>
              <w:rPr>
                <w:rFonts w:hint="default" w:eastAsia="宋体"/>
                <w:sz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>
            <w:pPr>
              <w:tabs>
                <w:tab w:val="left" w:pos="459"/>
              </w:tabs>
              <w:spacing w:line="300" w:lineRule="auto"/>
              <w:ind w:left="457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中文名称：</w:t>
            </w:r>
          </w:p>
        </w:tc>
        <w:tc>
          <w:tcPr>
            <w:tcW w:w="6262" w:type="dxa"/>
            <w:tcBorders>
              <w:top w:val="nil"/>
              <w:left w:val="nil"/>
              <w:bottom w:val="nil"/>
            </w:tcBorders>
          </w:tcPr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水性聚氨酯分散体</w:t>
            </w:r>
            <w:r>
              <w:rPr>
                <w:rFonts w:hint="eastAsia"/>
                <w:sz w:val="24"/>
              </w:rPr>
              <w:t>PU-</w:t>
            </w:r>
            <w:r>
              <w:rPr>
                <w:rFonts w:hint="eastAsia"/>
                <w:sz w:val="24"/>
                <w:lang w:val="en-US" w:eastAsia="zh-CN"/>
              </w:rPr>
              <w:t>23</w:t>
            </w:r>
            <w:bookmarkStart w:id="0" w:name="_GoBack"/>
            <w:bookmarkEnd w:id="0"/>
            <w:r>
              <w:rPr>
                <w:rFonts w:hint="eastAsia"/>
                <w:sz w:val="24"/>
                <w:lang w:val="en-US" w:eastAsia="zh-CN"/>
              </w:rPr>
              <w:t>03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>
            <w:pPr>
              <w:tabs>
                <w:tab w:val="left" w:pos="459"/>
              </w:tabs>
              <w:spacing w:line="300" w:lineRule="auto"/>
              <w:ind w:left="457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化学品分类：</w:t>
            </w:r>
          </w:p>
        </w:tc>
        <w:tc>
          <w:tcPr>
            <w:tcW w:w="6262" w:type="dxa"/>
            <w:tcBorders>
              <w:top w:val="nil"/>
              <w:left w:val="nil"/>
              <w:bottom w:val="nil"/>
            </w:tcBorders>
          </w:tcPr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改性聚氨酯树脂水分散体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1"/>
                <w:numId w:val="1"/>
              </w:numPr>
              <w:tabs>
                <w:tab w:val="left" w:pos="0"/>
                <w:tab w:val="left" w:pos="459"/>
                <w:tab w:val="clear" w:pos="660"/>
              </w:tabs>
              <w:spacing w:line="300" w:lineRule="auto"/>
              <w:ind w:left="523" w:hanging="523" w:hangingChars="217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产品使用建议和使用限制</w:t>
            </w:r>
            <w:r>
              <w:rPr>
                <w:rFonts w:hint="eastAsia" w:hAnsi="Arial"/>
                <w:b/>
                <w:sz w:val="24"/>
                <w:lang w:eastAsia="zh-CN"/>
              </w:rPr>
              <w:t>：</w:t>
            </w:r>
          </w:p>
        </w:tc>
        <w:tc>
          <w:tcPr>
            <w:tcW w:w="6262" w:type="dxa"/>
            <w:tcBorders>
              <w:top w:val="nil"/>
              <w:left w:val="nil"/>
              <w:bottom w:val="nil"/>
            </w:tcBorders>
          </w:tcPr>
          <w:p>
            <w:pPr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应用于皮革涂饰、纺织涂层、纸张印刷、皮边油等领域</w:t>
            </w:r>
            <w:r>
              <w:rPr>
                <w:rFonts w:hint="eastAsia"/>
                <w:sz w:val="24"/>
                <w:lang w:val="en-US" w:eastAsia="zh-CN"/>
              </w:rPr>
              <w:t>。</w:t>
            </w:r>
          </w:p>
          <w:p>
            <w:pPr>
              <w:spacing w:beforeLines="0" w:afterLines="0"/>
              <w:jc w:val="left"/>
              <w:rPr>
                <w:rFonts w:hint="default"/>
                <w:sz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0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1"/>
                <w:numId w:val="1"/>
              </w:numPr>
              <w:tabs>
                <w:tab w:val="left" w:pos="459"/>
                <w:tab w:val="clear" w:pos="660"/>
              </w:tabs>
              <w:spacing w:line="300" w:lineRule="auto"/>
              <w:ind w:left="523" w:hanging="523" w:hangingChars="217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供应商信息：</w:t>
            </w:r>
          </w:p>
        </w:tc>
        <w:tc>
          <w:tcPr>
            <w:tcW w:w="6262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rPr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>
            <w:pPr>
              <w:tabs>
                <w:tab w:val="left" w:pos="459"/>
              </w:tabs>
              <w:spacing w:line="300" w:lineRule="auto"/>
              <w:ind w:left="458" w:leftChars="218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供应商名称：</w:t>
            </w:r>
          </w:p>
        </w:tc>
        <w:tc>
          <w:tcPr>
            <w:tcW w:w="6262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rPr>
                <w:rFonts w:cs="宋体"/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广州冠志新材料科技有限公司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>
            <w:pPr>
              <w:tabs>
                <w:tab w:val="left" w:pos="459"/>
              </w:tabs>
              <w:spacing w:line="300" w:lineRule="auto"/>
              <w:ind w:left="456" w:leftChars="217" w:firstLine="2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供应商地址：</w:t>
            </w:r>
          </w:p>
        </w:tc>
        <w:tc>
          <w:tcPr>
            <w:tcW w:w="6262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广州市萝岗区科学城掬泉路3号广州国际企业孵化器A区1106室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>
            <w:pPr>
              <w:tabs>
                <w:tab w:val="left" w:pos="459"/>
              </w:tabs>
              <w:spacing w:line="300" w:lineRule="auto"/>
              <w:ind w:left="456" w:leftChars="217" w:right="482" w:firstLine="2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电话：</w:t>
            </w:r>
          </w:p>
        </w:tc>
        <w:tc>
          <w:tcPr>
            <w:tcW w:w="6262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rPr>
                <w:sz w:val="24"/>
              </w:rPr>
            </w:pPr>
            <w:r>
              <w:rPr>
                <w:sz w:val="24"/>
              </w:rPr>
              <w:t>86-20-</w:t>
            </w:r>
            <w:r>
              <w:rPr>
                <w:rFonts w:hint="eastAsia"/>
                <w:sz w:val="24"/>
              </w:rPr>
              <w:t>82567990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" w:hRule="atLeast"/>
        </w:trPr>
        <w:tc>
          <w:tcPr>
            <w:tcW w:w="3519" w:type="dxa"/>
            <w:tcBorders>
              <w:top w:val="nil"/>
              <w:bottom w:val="single" w:color="auto" w:sz="4" w:space="0"/>
              <w:right w:val="nil"/>
            </w:tcBorders>
          </w:tcPr>
          <w:p>
            <w:pPr>
              <w:tabs>
                <w:tab w:val="left" w:pos="459"/>
              </w:tabs>
              <w:spacing w:line="300" w:lineRule="auto"/>
              <w:ind w:left="456" w:leftChars="217" w:right="482" w:firstLine="2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传真：</w:t>
            </w:r>
          </w:p>
        </w:tc>
        <w:tc>
          <w:tcPr>
            <w:tcW w:w="6262" w:type="dxa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line="300" w:lineRule="auto"/>
              <w:rPr>
                <w:sz w:val="24"/>
              </w:rPr>
            </w:pPr>
            <w:r>
              <w:rPr>
                <w:sz w:val="24"/>
              </w:rPr>
              <w:t>86-20-</w:t>
            </w:r>
            <w:r>
              <w:rPr>
                <w:rFonts w:hint="eastAsia"/>
                <w:sz w:val="24"/>
              </w:rPr>
              <w:t xml:space="preserve">32214789   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2.</w:t>
            </w:r>
            <w:r>
              <w:rPr>
                <w:rFonts w:hint="eastAsia" w:hAnsi="Arial"/>
                <w:b/>
                <w:sz w:val="24"/>
              </w:rPr>
              <w:t>危险性概述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8" w:hRule="atLeast"/>
        </w:trPr>
        <w:tc>
          <w:tcPr>
            <w:tcW w:w="9781" w:type="dxa"/>
          </w:tcPr>
          <w:p>
            <w:pPr>
              <w:pStyle w:val="9"/>
              <w:autoSpaceDE w:val="0"/>
              <w:autoSpaceDN w:val="0"/>
              <w:adjustRightInd w:val="0"/>
              <w:spacing w:line="300" w:lineRule="auto"/>
              <w:ind w:left="0" w:leftChars="0" w:firstLine="0" w:firstLineChars="0"/>
              <w:jc w:val="left"/>
              <w:rPr>
                <w:rFonts w:hint="eastAsia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  <w:lang w:val="en-US" w:eastAsia="zh-CN"/>
              </w:rPr>
              <w:t xml:space="preserve">2.1 </w:t>
            </w:r>
            <w:r>
              <w:rPr>
                <w:b/>
                <w:sz w:val="24"/>
              </w:rPr>
              <w:t>GHS</w:t>
            </w:r>
            <w:r>
              <w:rPr>
                <w:rFonts w:hint="eastAsia"/>
                <w:b/>
                <w:sz w:val="24"/>
                <w:lang w:val="en-US" w:eastAsia="zh-CN"/>
              </w:rPr>
              <w:t>危险性类别</w:t>
            </w:r>
            <w:r>
              <w:rPr>
                <w:rFonts w:hint="eastAsia"/>
                <w:b/>
                <w:sz w:val="24"/>
              </w:rPr>
              <w:t>：</w:t>
            </w:r>
          </w:p>
          <w:p>
            <w:pPr>
              <w:spacing w:line="300" w:lineRule="auto"/>
              <w:jc w:val="left"/>
              <w:rPr>
                <w:rFonts w:hint="eastAsia" w:cs="Arial"/>
                <w:kern w:val="0"/>
                <w:sz w:val="24"/>
                <w:lang w:val="en-US" w:eastAsia="zh-CN"/>
              </w:rPr>
            </w:pPr>
            <w:r>
              <w:rPr>
                <w:rFonts w:hint="eastAsia" w:cs="Arial"/>
                <w:kern w:val="0"/>
                <w:sz w:val="24"/>
                <w:lang w:val="en-US" w:eastAsia="zh-CN"/>
              </w:rPr>
              <w:t>严重眼睛损伤/眼睛刺激性，类别1（H318）</w:t>
            </w:r>
          </w:p>
          <w:p>
            <w:pPr>
              <w:spacing w:line="300" w:lineRule="auto"/>
              <w:jc w:val="left"/>
              <w:rPr>
                <w:rFonts w:hint="eastAsia" w:cs="Arial"/>
                <w:kern w:val="0"/>
                <w:sz w:val="24"/>
                <w:lang w:val="en-US" w:eastAsia="zh-CN"/>
              </w:rPr>
            </w:pPr>
            <w:r>
              <w:rPr>
                <w:rFonts w:hint="eastAsia" w:cs="Arial"/>
                <w:kern w:val="0"/>
                <w:sz w:val="24"/>
                <w:lang w:val="en-US" w:eastAsia="zh-CN"/>
              </w:rPr>
              <w:t>生殖毒性物质，类别1B（H360）</w:t>
            </w:r>
          </w:p>
          <w:p>
            <w:pPr>
              <w:spacing w:line="300" w:lineRule="auto"/>
              <w:ind w:left="458" w:leftChars="218"/>
            </w:pPr>
          </w:p>
          <w:p>
            <w:pPr>
              <w:spacing w:line="300" w:lineRule="auto"/>
              <w:rPr>
                <w:rFonts w:hint="eastAsia" w:hAnsi="Arial" w:cs="Arial"/>
                <w:b/>
                <w:bCs/>
                <w:kern w:val="0"/>
                <w:sz w:val="24"/>
                <w:lang w:val="en-US" w:eastAsia="zh-CN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  <w:lang w:val="en-US" w:eastAsia="zh-CN"/>
              </w:rPr>
              <w:t xml:space="preserve">2.2 </w:t>
            </w:r>
            <w:r>
              <w:rPr>
                <w:rFonts w:cs="Arial"/>
                <w:b/>
                <w:bCs/>
                <w:kern w:val="0"/>
                <w:sz w:val="24"/>
              </w:rPr>
              <w:t>GHS</w:t>
            </w:r>
            <w:r>
              <w:rPr>
                <w:rFonts w:hint="eastAsia" w:cs="Arial"/>
                <w:b/>
                <w:bCs/>
                <w:kern w:val="0"/>
                <w:sz w:val="24"/>
                <w:lang w:val="en-US" w:eastAsia="zh-CN"/>
              </w:rPr>
              <w:t>标签要素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：</w:t>
            </w:r>
          </w:p>
          <w:p>
            <w:pPr>
              <w:spacing w:line="300" w:lineRule="auto"/>
              <w:rPr>
                <w:rFonts w:hint="eastAsia" w:hAnsi="Arial" w:eastAsia="宋体" w:cs="Arial"/>
                <w:b/>
                <w:bCs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  <w:lang w:val="en-US" w:eastAsia="zh-CN"/>
              </w:rPr>
              <w:t>GHS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象形图</w:t>
            </w:r>
            <w:r>
              <w:rPr>
                <w:rFonts w:hint="eastAsia" w:hAnsi="Arial" w:cs="Arial"/>
                <w:b/>
                <w:bCs/>
                <w:kern w:val="0"/>
                <w:sz w:val="24"/>
                <w:lang w:eastAsia="zh-CN"/>
              </w:rPr>
              <w:t>：</w:t>
            </w:r>
          </w:p>
          <w:p>
            <w:pPr>
              <w:spacing w:line="300" w:lineRule="auto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 w:eastAsia="宋体"/>
                <w:sz w:val="24"/>
                <w:lang w:eastAsia="zh-CN"/>
              </w:rPr>
              <w:drawing>
                <wp:inline distT="0" distB="0" distL="114300" distR="114300">
                  <wp:extent cx="1080135" cy="1035050"/>
                  <wp:effectExtent l="0" t="0" r="5715" b="12700"/>
                  <wp:docPr id="7" name="图片 7" descr="a7b9e896460dc52dc6206ee221eea8f5_5bf3c34a9a96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a7b9e896460dc52dc6206ee221eea8f5_5bf3c34a9a96f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135" cy="1035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00" w:lineRule="auto"/>
              <w:rPr>
                <w:rFonts w:hint="eastAsia" w:hAnsi="Arial" w:cs="Arial"/>
                <w:b/>
                <w:bCs/>
                <w:kern w:val="0"/>
                <w:sz w:val="24"/>
                <w:lang w:val="en-US" w:eastAsia="zh-CN"/>
              </w:rPr>
            </w:pPr>
          </w:p>
          <w:p>
            <w:pPr>
              <w:spacing w:line="300" w:lineRule="auto"/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  <w:lang w:val="en-US" w:eastAsia="zh-CN"/>
              </w:rPr>
              <w:t>信号词：</w:t>
            </w:r>
            <w:r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  <w:t>危险</w:t>
            </w:r>
          </w:p>
          <w:p>
            <w:pPr>
              <w:spacing w:line="300" w:lineRule="auto"/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</w:pPr>
          </w:p>
          <w:p>
            <w:pPr>
              <w:spacing w:line="300" w:lineRule="auto"/>
              <w:rPr>
                <w:rFonts w:hint="eastAsia" w:hAnsi="Arial" w:cs="Arial"/>
                <w:b/>
                <w:bCs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  <w:lang w:val="en-US" w:eastAsia="zh-CN"/>
              </w:rPr>
              <w:t>危险性说明：</w:t>
            </w:r>
          </w:p>
          <w:p>
            <w:pPr>
              <w:spacing w:line="300" w:lineRule="auto"/>
              <w:ind w:firstLine="1200" w:firstLineChars="500"/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</w:pPr>
            <w:r>
              <w:rPr>
                <w:rFonts w:hint="eastAsia" w:cs="Arial"/>
                <w:kern w:val="0"/>
                <w:sz w:val="24"/>
                <w:lang w:val="en-US" w:eastAsia="zh-CN"/>
              </w:rPr>
              <w:t>H318</w:t>
            </w:r>
            <w:r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  <w:t>造成严重眼损伤。</w:t>
            </w:r>
          </w:p>
          <w:p>
            <w:pPr>
              <w:spacing w:line="300" w:lineRule="auto"/>
              <w:ind w:firstLine="1200" w:firstLineChars="500"/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</w:pPr>
            <w:r>
              <w:rPr>
                <w:rFonts w:hint="eastAsia" w:cs="Arial"/>
                <w:kern w:val="0"/>
                <w:sz w:val="24"/>
                <w:lang w:val="en-US" w:eastAsia="zh-CN"/>
              </w:rPr>
              <w:t>H360</w:t>
            </w:r>
            <w:r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  <w:t>可能对生育能力或胎儿造成伤害。</w:t>
            </w:r>
          </w:p>
          <w:p>
            <w:pPr>
              <w:spacing w:line="300" w:lineRule="auto"/>
              <w:ind w:firstLine="1200" w:firstLineChars="500"/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</w:pPr>
          </w:p>
          <w:p>
            <w:pPr>
              <w:spacing w:beforeLines="0" w:afterLines="0"/>
              <w:jc w:val="left"/>
              <w:rPr>
                <w:rFonts w:hint="eastAsia" w:hAnsi="Arial" w:cs="Arial"/>
                <w:b/>
                <w:bCs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  <w:lang w:val="en-US" w:eastAsia="zh-CN"/>
              </w:rPr>
              <w:t>防范说明：</w:t>
            </w:r>
          </w:p>
          <w:p>
            <w:pPr>
              <w:spacing w:line="300" w:lineRule="auto"/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  <w:t>预防措施：</w:t>
            </w:r>
          </w:p>
          <w:p>
            <w:pPr>
              <w:spacing w:line="300" w:lineRule="auto"/>
              <w:ind w:firstLine="1200" w:firstLineChars="500"/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  <w:t>P201 在使用前获取特别指示。</w:t>
            </w:r>
          </w:p>
          <w:p>
            <w:pPr>
              <w:spacing w:line="300" w:lineRule="auto"/>
              <w:ind w:firstLine="1200" w:firstLineChars="500"/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  <w:t>P202 在阅读并了解所有安全预防措施之前，切勿操作与处置。</w:t>
            </w:r>
          </w:p>
          <w:p>
            <w:pPr>
              <w:spacing w:line="300" w:lineRule="auto"/>
              <w:ind w:firstLine="1200" w:firstLineChars="500"/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  <w:t xml:space="preserve">P280 戴防护手套/穿防护服/戴防护眼罩/戴防护面具。 </w:t>
            </w:r>
          </w:p>
          <w:p>
            <w:pPr>
              <w:spacing w:line="300" w:lineRule="auto"/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  <w:t>事故响应：</w:t>
            </w:r>
          </w:p>
          <w:p>
            <w:pPr>
              <w:spacing w:line="300" w:lineRule="auto"/>
              <w:ind w:firstLine="1200" w:firstLineChars="500"/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  <w:t>P305+P351+P338 如果进入眼睛：用水小心地冲洗几分钟。如简便易行，</w:t>
            </w:r>
          </w:p>
          <w:p>
            <w:pPr>
              <w:spacing w:line="300" w:lineRule="auto"/>
              <w:ind w:firstLine="1200" w:firstLineChars="500"/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  <w:t>摘除隐形眼镜，继续冲洗。</w:t>
            </w:r>
          </w:p>
          <w:p>
            <w:pPr>
              <w:spacing w:line="300" w:lineRule="auto"/>
              <w:ind w:firstLine="1200" w:firstLineChars="500"/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  <w:t>P308+P313如果接触到或有疑虑：求医/就诊。</w:t>
            </w:r>
          </w:p>
          <w:p>
            <w:pPr>
              <w:spacing w:line="300" w:lineRule="auto"/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  <w:t>安全储存：</w:t>
            </w:r>
          </w:p>
          <w:p>
            <w:pPr>
              <w:spacing w:line="300" w:lineRule="auto"/>
              <w:ind w:firstLine="1200" w:firstLineChars="500"/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  <w:t>P405 储存处须加锁。</w:t>
            </w:r>
          </w:p>
          <w:p>
            <w:pPr>
              <w:spacing w:line="300" w:lineRule="auto"/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  <w:t>废弃处置：</w:t>
            </w:r>
          </w:p>
          <w:p>
            <w:pPr>
              <w:spacing w:line="300" w:lineRule="auto"/>
              <w:ind w:firstLine="1200" w:firstLineChars="500"/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  <w:t>P501 处置内装物/容器按照当地规章。</w:t>
            </w:r>
          </w:p>
          <w:p>
            <w:pPr>
              <w:spacing w:line="300" w:lineRule="auto"/>
              <w:ind w:firstLine="1200" w:firstLineChars="500"/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</w:pPr>
          </w:p>
          <w:p>
            <w:pPr>
              <w:spacing w:beforeLines="0" w:afterLines="0"/>
              <w:jc w:val="left"/>
              <w:rPr>
                <w:rFonts w:hint="default" w:hAnsi="Arial" w:cs="Arial"/>
                <w:b w:val="0"/>
                <w:bCs w:val="0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  <w:lang w:val="en-US" w:eastAsia="zh-CN"/>
              </w:rPr>
              <w:t>其他危险：</w:t>
            </w:r>
            <w:r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  <w:t>无适用资料。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3153"/>
        <w:gridCol w:w="310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3"/>
            <w:tcBorders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3. </w:t>
            </w:r>
            <w:r>
              <w:rPr>
                <w:rFonts w:hint="eastAsia" w:hAnsi="Arial"/>
                <w:b/>
                <w:sz w:val="24"/>
              </w:rPr>
              <w:t>成分</w:t>
            </w:r>
            <w:r>
              <w:rPr>
                <w:b/>
                <w:sz w:val="24"/>
              </w:rPr>
              <w:t>/</w:t>
            </w:r>
            <w:r>
              <w:rPr>
                <w:rFonts w:hint="eastAsia" w:hAnsi="Arial"/>
                <w:b/>
                <w:sz w:val="24"/>
              </w:rPr>
              <w:t>组成资料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1" w:hRule="atLeast"/>
        </w:trPr>
        <w:tc>
          <w:tcPr>
            <w:tcW w:w="3519" w:type="dxa"/>
            <w:tcBorders>
              <w:left w:val="single" w:color="auto" w:sz="4" w:space="0"/>
              <w:bottom w:val="nil"/>
              <w:right w:val="nil"/>
            </w:tcBorders>
          </w:tcPr>
          <w:p>
            <w:pPr>
              <w:numPr>
                <w:ilvl w:val="1"/>
                <w:numId w:val="2"/>
              </w:numPr>
              <w:tabs>
                <w:tab w:val="clear" w:pos="540"/>
              </w:tabs>
              <w:spacing w:line="300" w:lineRule="auto"/>
              <w:ind w:left="459" w:right="34" w:hanging="459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产品类型：</w:t>
            </w:r>
          </w:p>
        </w:tc>
        <w:tc>
          <w:tcPr>
            <w:tcW w:w="6262" w:type="dxa"/>
            <w:gridSpan w:val="2"/>
            <w:tcBorders>
              <w:left w:val="nil"/>
              <w:bottom w:val="nil"/>
              <w:right w:val="single" w:color="auto" w:sz="4" w:space="0"/>
            </w:tcBorders>
          </w:tcPr>
          <w:p>
            <w:pPr>
              <w:spacing w:line="300" w:lineRule="auto"/>
              <w:ind w:right="480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混合物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nil"/>
              <w:left w:val="single" w:color="auto" w:sz="4" w:space="0"/>
              <w:bottom w:val="nil"/>
              <w:right w:val="nil"/>
            </w:tcBorders>
          </w:tcPr>
          <w:p>
            <w:pPr>
              <w:numPr>
                <w:ilvl w:val="1"/>
                <w:numId w:val="2"/>
              </w:numPr>
              <w:tabs>
                <w:tab w:val="clear" w:pos="540"/>
              </w:tabs>
              <w:spacing w:line="300" w:lineRule="auto"/>
              <w:ind w:left="459" w:right="34" w:hanging="459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成分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300" w:lineRule="auto"/>
              <w:ind w:right="34"/>
              <w:rPr>
                <w:b/>
                <w:sz w:val="24"/>
              </w:rPr>
            </w:pPr>
          </w:p>
        </w:tc>
        <w:tc>
          <w:tcPr>
            <w:tcW w:w="3109" w:type="dxa"/>
            <w:tcBorders>
              <w:top w:val="nil"/>
              <w:left w:val="nil"/>
              <w:bottom w:val="nil"/>
              <w:right w:val="single" w:color="auto" w:sz="4" w:space="0"/>
            </w:tcBorders>
          </w:tcPr>
          <w:p>
            <w:pPr>
              <w:spacing w:line="300" w:lineRule="auto"/>
              <w:ind w:right="34"/>
              <w:rPr>
                <w:b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nil"/>
              <w:left w:val="single" w:color="auto" w:sz="4" w:space="0"/>
              <w:bottom w:val="nil"/>
              <w:right w:val="nil"/>
            </w:tcBorders>
          </w:tcPr>
          <w:p>
            <w:pPr>
              <w:spacing w:line="300" w:lineRule="auto"/>
              <w:ind w:right="34" w:firstLine="241" w:firstLineChars="100"/>
              <w:jc w:val="both"/>
              <w:rPr>
                <w:b/>
                <w:sz w:val="24"/>
                <w:u w:val="single"/>
              </w:rPr>
            </w:pPr>
            <w:r>
              <w:rPr>
                <w:rFonts w:hint="eastAsia"/>
                <w:b/>
                <w:sz w:val="24"/>
                <w:u w:val="single"/>
              </w:rPr>
              <w:t>化学品名称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300" w:lineRule="auto"/>
              <w:ind w:right="480"/>
              <w:jc w:val="left"/>
              <w:rPr>
                <w:sz w:val="24"/>
                <w:u w:val="single"/>
              </w:rPr>
            </w:pPr>
            <w:r>
              <w:rPr>
                <w:sz w:val="24"/>
                <w:u w:val="single"/>
              </w:rPr>
              <w:t>CAS</w:t>
            </w:r>
            <w:r>
              <w:rPr>
                <w:rFonts w:hint="eastAsia"/>
                <w:sz w:val="24"/>
                <w:u w:val="single"/>
              </w:rPr>
              <w:t>编号</w:t>
            </w:r>
          </w:p>
        </w:tc>
        <w:tc>
          <w:tcPr>
            <w:tcW w:w="3109" w:type="dxa"/>
            <w:tcBorders>
              <w:top w:val="nil"/>
              <w:left w:val="nil"/>
              <w:bottom w:val="nil"/>
              <w:right w:val="single" w:color="auto" w:sz="4" w:space="0"/>
            </w:tcBorders>
          </w:tcPr>
          <w:p>
            <w:pPr>
              <w:spacing w:line="300" w:lineRule="auto"/>
              <w:ind w:right="480"/>
              <w:jc w:val="left"/>
              <w:rPr>
                <w:sz w:val="24"/>
                <w:u w:val="single"/>
              </w:rPr>
            </w:pPr>
            <w:r>
              <w:rPr>
                <w:rFonts w:hint="eastAsia"/>
                <w:sz w:val="24"/>
                <w:u w:val="single"/>
                <w:lang w:val="en-US" w:eastAsia="zh-CN"/>
              </w:rPr>
              <w:t>含量</w:t>
            </w:r>
            <w:r>
              <w:rPr>
                <w:sz w:val="24"/>
                <w:u w:val="single"/>
              </w:rPr>
              <w:t>%</w:t>
            </w:r>
            <w:r>
              <w:rPr>
                <w:rFonts w:hint="eastAsia" w:hAnsi="Arial"/>
                <w:sz w:val="24"/>
                <w:u w:val="single"/>
              </w:rPr>
              <w:t>（</w:t>
            </w:r>
            <w:r>
              <w:rPr>
                <w:sz w:val="24"/>
                <w:u w:val="single"/>
              </w:rPr>
              <w:t>w/w</w:t>
            </w:r>
            <w:r>
              <w:rPr>
                <w:rFonts w:hint="eastAsia" w:hAnsi="Arial"/>
                <w:sz w:val="24"/>
                <w:u w:val="single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top"/>
          </w:tcPr>
          <w:p>
            <w:pPr>
              <w:spacing w:line="300" w:lineRule="auto"/>
              <w:ind w:right="34" w:rightChars="0" w:firstLine="241" w:firstLineChars="100"/>
              <w:rPr>
                <w:rFonts w:hint="eastAsia"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sz w:val="24"/>
              </w:rPr>
              <w:t>聚氨酯分散体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line="300" w:lineRule="auto"/>
              <w:ind w:right="480" w:rightChars="0"/>
              <w:jc w:val="left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9009-54-5</w:t>
            </w:r>
          </w:p>
        </w:tc>
        <w:tc>
          <w:tcPr>
            <w:tcW w:w="3109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>
            <w:pPr>
              <w:spacing w:line="300" w:lineRule="auto"/>
              <w:ind w:right="480" w:rightChars="0"/>
              <w:jc w:val="left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lang w:val="en-US" w:eastAsia="zh-CN"/>
              </w:rPr>
              <w:t>28.0~3</w:t>
            </w:r>
            <w:r>
              <w:rPr>
                <w:rFonts w:hint="eastAsia"/>
                <w:sz w:val="24"/>
              </w:rPr>
              <w:t>1</w:t>
            </w:r>
            <w:r>
              <w:rPr>
                <w:rFonts w:hint="eastAsia"/>
                <w:sz w:val="24"/>
                <w:lang w:val="en-US" w:eastAsia="zh-CN"/>
              </w:rPr>
              <w:t>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19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top"/>
          </w:tcPr>
          <w:p>
            <w:pPr>
              <w:spacing w:line="300" w:lineRule="auto"/>
              <w:ind w:right="34" w:rightChars="0" w:firstLine="241" w:firstLineChars="100"/>
              <w:jc w:val="both"/>
              <w:rPr>
                <w:rFonts w:hint="eastAsia" w:ascii="Times New Roman" w:hAnsi="Times New Roman" w:eastAsia="宋体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>去离子</w:t>
            </w:r>
            <w:r>
              <w:rPr>
                <w:rFonts w:hint="eastAsia"/>
                <w:b/>
                <w:sz w:val="24"/>
                <w:lang w:eastAsia="zh-CN"/>
              </w:rPr>
              <w:t>水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line="300" w:lineRule="auto"/>
              <w:ind w:right="480" w:rightChars="0"/>
              <w:jc w:val="left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7732-18-5</w:t>
            </w:r>
          </w:p>
        </w:tc>
        <w:tc>
          <w:tcPr>
            <w:tcW w:w="3109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>
            <w:pPr>
              <w:spacing w:line="300" w:lineRule="auto"/>
              <w:ind w:right="480" w:rightChars="0"/>
              <w:jc w:val="left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lang w:val="en-US" w:eastAsia="zh-CN"/>
              </w:rPr>
              <w:t>64.0~67.5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vAlign w:val="top"/>
          </w:tcPr>
          <w:p>
            <w:pPr>
              <w:spacing w:line="300" w:lineRule="auto"/>
              <w:ind w:right="34" w:rightChars="0" w:firstLine="241" w:firstLineChars="100"/>
              <w:rPr>
                <w:rFonts w:hint="eastAsia"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b/>
                <w:sz w:val="24"/>
              </w:rPr>
              <w:t>N-乙基吡咯烷酮</w:t>
            </w:r>
            <w:r>
              <w:rPr>
                <w:rFonts w:hint="eastAsia"/>
                <w:b/>
                <w:sz w:val="24"/>
              </w:rPr>
              <w:t>（NEP）</w:t>
            </w:r>
          </w:p>
        </w:tc>
        <w:tc>
          <w:tcPr>
            <w:tcW w:w="3153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line="300" w:lineRule="auto"/>
              <w:ind w:right="480" w:rightChars="0"/>
              <w:jc w:val="left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2687-91-4</w:t>
            </w:r>
          </w:p>
        </w:tc>
        <w:tc>
          <w:tcPr>
            <w:tcW w:w="31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ind w:right="480" w:rightChars="0"/>
              <w:jc w:val="left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lang w:val="en-US" w:eastAsia="zh-CN"/>
              </w:rPr>
              <w:t>4.5~5.0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4"/>
        <w:tblW w:w="9795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7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95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4.</w:t>
            </w:r>
            <w:r>
              <w:rPr>
                <w:rFonts w:hint="eastAsia" w:hAnsi="Arial"/>
                <w:b/>
                <w:sz w:val="24"/>
              </w:rPr>
              <w:t>急救措施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single" w:color="auto" w:sz="4" w:space="0"/>
              <w:bottom w:val="nil"/>
              <w:right w:val="nil"/>
            </w:tcBorders>
          </w:tcPr>
          <w:p>
            <w:pPr>
              <w:numPr>
                <w:ilvl w:val="0"/>
                <w:numId w:val="3"/>
              </w:numPr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一般措施：</w:t>
            </w:r>
          </w:p>
        </w:tc>
        <w:tc>
          <w:tcPr>
            <w:tcW w:w="6276" w:type="dxa"/>
            <w:tcBorders>
              <w:top w:val="single" w:color="auto" w:sz="4" w:space="0"/>
              <w:left w:val="nil"/>
              <w:bottom w:val="nil"/>
            </w:tcBorders>
          </w:tcPr>
          <w:p>
            <w:pPr>
              <w:spacing w:line="300" w:lineRule="auto"/>
              <w:jc w:val="left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立即脱掉所有被污染的衣物。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  <w:vAlign w:val="top"/>
          </w:tcPr>
          <w:p>
            <w:pPr>
              <w:numPr>
                <w:ilvl w:val="0"/>
                <w:numId w:val="3"/>
              </w:numPr>
              <w:spacing w:line="300" w:lineRule="auto"/>
              <w:ind w:left="420" w:leftChars="0" w:hanging="420" w:firstLineChars="0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误服：</w:t>
            </w:r>
          </w:p>
        </w:tc>
        <w:tc>
          <w:tcPr>
            <w:tcW w:w="6276" w:type="dxa"/>
            <w:tcBorders>
              <w:top w:val="nil"/>
              <w:left w:val="nil"/>
              <w:bottom w:val="nil"/>
            </w:tcBorders>
            <w:vAlign w:val="top"/>
          </w:tcPr>
          <w:p>
            <w:pPr>
              <w:spacing w:line="300" w:lineRule="auto"/>
              <w:jc w:val="left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若意外吞食，不要催吐，立即就医。</w:t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无意识时，不要经口喂食任何食物。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  <w:vAlign w:val="top"/>
          </w:tcPr>
          <w:p>
            <w:pPr>
              <w:numPr>
                <w:ilvl w:val="0"/>
                <w:numId w:val="3"/>
              </w:numPr>
              <w:spacing w:line="300" w:lineRule="auto"/>
              <w:ind w:left="420" w:leftChars="0" w:hanging="420" w:firstLineChars="0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接触眼睛：</w:t>
            </w:r>
          </w:p>
        </w:tc>
        <w:tc>
          <w:tcPr>
            <w:tcW w:w="6276" w:type="dxa"/>
            <w:tcBorders>
              <w:top w:val="nil"/>
              <w:left w:val="nil"/>
              <w:bottom w:val="nil"/>
            </w:tcBorders>
            <w:vAlign w:val="top"/>
          </w:tcPr>
          <w:p>
            <w:pPr>
              <w:spacing w:line="300" w:lineRule="auto"/>
              <w:jc w:val="left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立即翻起上下眼睑用大量缓和流动的水清洗眼睛至少20 分钟。且将头倾斜，避免化学品流入另一只未受污染的眼睛，并立即就医。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3519" w:type="dxa"/>
            <w:tcBorders>
              <w:top w:val="nil"/>
              <w:bottom w:val="single" w:color="auto" w:sz="4" w:space="0"/>
              <w:right w:val="nil"/>
            </w:tcBorders>
            <w:vAlign w:val="top"/>
          </w:tcPr>
          <w:p>
            <w:pPr>
              <w:numPr>
                <w:ilvl w:val="0"/>
                <w:numId w:val="3"/>
              </w:numPr>
              <w:spacing w:line="300" w:lineRule="auto"/>
              <w:ind w:left="420" w:leftChars="0" w:hanging="420" w:firstLineChars="0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接触皮肤：</w:t>
            </w:r>
          </w:p>
        </w:tc>
        <w:tc>
          <w:tcPr>
            <w:tcW w:w="6276" w:type="dxa"/>
            <w:tcBorders>
              <w:top w:val="nil"/>
              <w:left w:val="nil"/>
              <w:bottom w:val="single" w:color="auto" w:sz="4" w:space="0"/>
            </w:tcBorders>
            <w:vAlign w:val="top"/>
          </w:tcPr>
          <w:p>
            <w:pPr>
              <w:spacing w:line="300" w:lineRule="auto"/>
              <w:jc w:val="left"/>
              <w:rPr>
                <w:rFonts w:hint="default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/>
                <w:sz w:val="24"/>
              </w:rPr>
              <w:t>立即用肥皂和大量的水冲洗。若发生皮肤反应，就医。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3519" w:type="dxa"/>
            <w:tcBorders>
              <w:top w:val="single" w:color="auto" w:sz="4" w:space="0"/>
              <w:bottom w:val="single" w:color="auto" w:sz="4" w:space="0"/>
              <w:right w:val="nil"/>
            </w:tcBorders>
          </w:tcPr>
          <w:p>
            <w:pPr>
              <w:numPr>
                <w:ilvl w:val="0"/>
                <w:numId w:val="3"/>
              </w:numPr>
              <w:spacing w:line="300" w:lineRule="auto"/>
              <w:rPr>
                <w:rFonts w:hint="eastAsia"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sz w:val="24"/>
              </w:rPr>
              <w:t>吸入：</w:t>
            </w:r>
          </w:p>
        </w:tc>
        <w:tc>
          <w:tcPr>
            <w:tcW w:w="6276" w:type="dxa"/>
            <w:tcBorders>
              <w:top w:val="single" w:color="auto" w:sz="4" w:space="0"/>
              <w:left w:val="nil"/>
              <w:bottom w:val="single" w:color="auto" w:sz="4" w:space="0"/>
            </w:tcBorders>
          </w:tcPr>
          <w:p>
            <w:pPr>
              <w:spacing w:line="300" w:lineRule="auto"/>
              <w:jc w:val="left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一旦吸入，如有不适，就医。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5.</w:t>
            </w:r>
            <w:r>
              <w:rPr>
                <w:rFonts w:hint="eastAsia" w:hAnsi="Arial"/>
                <w:b/>
                <w:sz w:val="24"/>
              </w:rPr>
              <w:t>消防措施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3519" w:type="dxa"/>
            <w:tcBorders>
              <w:top w:val="single" w:color="auto" w:sz="4" w:space="0"/>
            </w:tcBorders>
          </w:tcPr>
          <w:p>
            <w:pPr>
              <w:numPr>
                <w:ilvl w:val="0"/>
                <w:numId w:val="4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合适的灭火剂：</w:t>
            </w:r>
          </w:p>
        </w:tc>
        <w:tc>
          <w:tcPr>
            <w:tcW w:w="6262" w:type="dxa"/>
            <w:tcBorders>
              <w:top w:val="single" w:color="auto" w:sz="4" w:space="0"/>
            </w:tcBorders>
          </w:tcPr>
          <w:p>
            <w:pPr>
              <w:spacing w:line="300" w:lineRule="auto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/>
                <w:sz w:val="24"/>
              </w:rPr>
              <w:t>二氧化碳（</w:t>
            </w:r>
            <w:r>
              <w:rPr>
                <w:sz w:val="24"/>
              </w:rPr>
              <w:t>CO</w:t>
            </w:r>
            <w:r>
              <w:rPr>
                <w:sz w:val="24"/>
                <w:vertAlign w:val="subscript"/>
              </w:rPr>
              <w:t>2</w:t>
            </w:r>
            <w:r>
              <w:rPr>
                <w:rFonts w:hint="eastAsia"/>
                <w:sz w:val="24"/>
              </w:rPr>
              <w:t>），</w:t>
            </w:r>
            <w:r>
              <w:rPr>
                <w:rFonts w:hint="eastAsia"/>
                <w:sz w:val="24"/>
                <w:lang w:val="en-US" w:eastAsia="zh-CN"/>
              </w:rPr>
              <w:t>耐醇</w:t>
            </w:r>
            <w:r>
              <w:rPr>
                <w:rFonts w:hint="eastAsia"/>
                <w:sz w:val="24"/>
              </w:rPr>
              <w:t>泡沫，</w:t>
            </w:r>
            <w:r>
              <w:rPr>
                <w:rFonts w:hint="eastAsia"/>
                <w:sz w:val="24"/>
                <w:lang w:val="en-US" w:eastAsia="zh-CN"/>
              </w:rPr>
              <w:t>化学干粉</w:t>
            </w:r>
            <w:r>
              <w:rPr>
                <w:rFonts w:hint="eastAsia"/>
                <w:sz w:val="24"/>
                <w:lang w:eastAsia="zh-CN"/>
              </w:rPr>
              <w:t>。</w:t>
            </w:r>
            <w:r>
              <w:rPr>
                <w:rFonts w:hint="eastAsia"/>
                <w:sz w:val="24"/>
                <w:lang w:val="en-US" w:eastAsia="zh-CN"/>
              </w:rPr>
              <w:t>大火时应用水喷洒。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3519" w:type="dxa"/>
          </w:tcPr>
          <w:p>
            <w:pPr>
              <w:numPr>
                <w:ilvl w:val="0"/>
                <w:numId w:val="4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不合适的灭火剂：</w:t>
            </w:r>
          </w:p>
        </w:tc>
        <w:tc>
          <w:tcPr>
            <w:tcW w:w="6262" w:type="dxa"/>
          </w:tcPr>
          <w:p>
            <w:pPr>
              <w:tabs>
                <w:tab w:val="left" w:pos="-108"/>
              </w:tabs>
              <w:spacing w:line="300" w:lineRule="auto"/>
              <w:rPr>
                <w:rFonts w:hint="eastAsia" w:eastAsia="宋体"/>
                <w:b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</w:rPr>
              <w:t>高流量的水喷射</w:t>
            </w:r>
            <w:r>
              <w:rPr>
                <w:rFonts w:hint="eastAsia"/>
                <w:sz w:val="24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19" w:type="dxa"/>
          </w:tcPr>
          <w:p>
            <w:pPr>
              <w:numPr>
                <w:ilvl w:val="0"/>
                <w:numId w:val="4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物质或混合物的特殊危害：</w:t>
            </w:r>
          </w:p>
        </w:tc>
        <w:tc>
          <w:tcPr>
            <w:tcW w:w="6262" w:type="dxa"/>
          </w:tcPr>
          <w:p>
            <w:pPr>
              <w:spacing w:line="300" w:lineRule="auto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/>
                <w:sz w:val="24"/>
              </w:rPr>
              <w:t>燃烧时释放一氧化碳、二氧化碳、氮氧化物</w:t>
            </w:r>
            <w:r>
              <w:rPr>
                <w:rFonts w:hint="eastAsia"/>
                <w:sz w:val="24"/>
                <w:lang w:val="en-US" w:eastAsia="zh-CN"/>
              </w:rPr>
              <w:t>等</w:t>
            </w:r>
            <w:r>
              <w:rPr>
                <w:rFonts w:hint="eastAsia"/>
                <w:sz w:val="24"/>
                <w:lang w:eastAsia="zh-CN"/>
              </w:rPr>
              <w:t>。</w:t>
            </w:r>
          </w:p>
          <w:p>
            <w:pPr>
              <w:spacing w:line="300" w:lineRule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</w:rPr>
              <w:t>在着火或爆炸情况下，不要吸进烟尘。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6" w:hRule="atLeast"/>
        </w:trPr>
        <w:tc>
          <w:tcPr>
            <w:tcW w:w="3519" w:type="dxa"/>
            <w:tcBorders>
              <w:bottom w:val="single" w:color="auto" w:sz="4" w:space="0"/>
            </w:tcBorders>
          </w:tcPr>
          <w:p>
            <w:pPr>
              <w:numPr>
                <w:ilvl w:val="0"/>
                <w:numId w:val="4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消防预防措施和保护设备：</w:t>
            </w:r>
          </w:p>
        </w:tc>
        <w:tc>
          <w:tcPr>
            <w:tcW w:w="6262" w:type="dxa"/>
            <w:tcBorders>
              <w:bottom w:val="single" w:color="auto" w:sz="4" w:space="0"/>
            </w:tcBorders>
          </w:tcPr>
          <w:p>
            <w:pPr>
              <w:tabs>
                <w:tab w:val="left" w:pos="-108"/>
              </w:tabs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消防人员必须佩戴自供气式呼吸器。</w:t>
            </w:r>
          </w:p>
          <w:p>
            <w:pPr>
              <w:tabs>
                <w:tab w:val="left" w:pos="-108"/>
              </w:tabs>
              <w:spacing w:line="300" w:lineRule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</w:rPr>
              <w:t>禁止污染的灭火用水流入土壤，地下水或地表水中。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6.</w:t>
            </w:r>
            <w:r>
              <w:rPr>
                <w:rFonts w:hint="eastAsia" w:hAnsi="Arial"/>
                <w:b/>
                <w:sz w:val="24"/>
              </w:rPr>
              <w:t>意外泄漏措施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8" w:hRule="atLeast"/>
        </w:trPr>
        <w:tc>
          <w:tcPr>
            <w:tcW w:w="3519" w:type="dxa"/>
            <w:tcBorders>
              <w:top w:val="single" w:color="auto" w:sz="4" w:space="0"/>
            </w:tcBorders>
          </w:tcPr>
          <w:p>
            <w:pPr>
              <w:numPr>
                <w:ilvl w:val="0"/>
                <w:numId w:val="5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个人预防措施、应急程序：</w:t>
            </w:r>
          </w:p>
        </w:tc>
        <w:tc>
          <w:tcPr>
            <w:tcW w:w="6262" w:type="dxa"/>
            <w:tcBorders>
              <w:top w:val="single" w:color="auto" w:sz="4" w:space="0"/>
            </w:tcBorders>
          </w:tcPr>
          <w:p>
            <w:pPr>
              <w:spacing w:line="30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戴防护设备。确保充分的通风</w:t>
            </w:r>
            <w:r>
              <w:rPr>
                <w:sz w:val="24"/>
              </w:rPr>
              <w:t>/</w:t>
            </w:r>
            <w:r>
              <w:rPr>
                <w:rFonts w:hint="eastAsia"/>
                <w:sz w:val="24"/>
              </w:rPr>
              <w:t>排气。</w:t>
            </w:r>
          </w:p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令未授权人员离开。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519" w:type="dxa"/>
          </w:tcPr>
          <w:p>
            <w:pPr>
              <w:numPr>
                <w:ilvl w:val="0"/>
                <w:numId w:val="5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>环境保护措施</w:t>
            </w:r>
            <w:r>
              <w:rPr>
                <w:rFonts w:hint="eastAsia" w:hAnsi="Arial" w:cs="Arial"/>
                <w:kern w:val="0"/>
                <w:sz w:val="24"/>
              </w:rPr>
              <w:t>：</w:t>
            </w:r>
          </w:p>
        </w:tc>
        <w:tc>
          <w:tcPr>
            <w:tcW w:w="6262" w:type="dxa"/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禁止排入下水道，废水或土壤中</w:t>
            </w:r>
            <w:r>
              <w:rPr>
                <w:rFonts w:hint="eastAsia"/>
                <w:sz w:val="24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519" w:type="dxa"/>
            <w:tcBorders>
              <w:bottom w:val="single" w:color="auto" w:sz="4" w:space="0"/>
            </w:tcBorders>
          </w:tcPr>
          <w:p>
            <w:pPr>
              <w:numPr>
                <w:ilvl w:val="0"/>
                <w:numId w:val="5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污染物收集和清除的方法：</w:t>
            </w:r>
          </w:p>
        </w:tc>
        <w:tc>
          <w:tcPr>
            <w:tcW w:w="6262" w:type="dxa"/>
            <w:tcBorders>
              <w:bottom w:val="single" w:color="auto" w:sz="4" w:space="0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用化学品吸收材料或必要时用干沙收集，并储存与密闭容器中。</w:t>
            </w:r>
          </w:p>
        </w:tc>
      </w:tr>
    </w:tbl>
    <w:p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7.</w:t>
            </w:r>
            <w:r>
              <w:rPr>
                <w:rFonts w:hint="eastAsia"/>
                <w:b/>
                <w:sz w:val="24"/>
              </w:rPr>
              <w:t>操作和储存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3519" w:type="dxa"/>
            <w:tcBorders>
              <w:top w:val="single" w:color="auto" w:sz="4" w:space="0"/>
              <w:bottom w:val="nil"/>
              <w:right w:val="nil"/>
            </w:tcBorders>
          </w:tcPr>
          <w:p>
            <w:pPr>
              <w:numPr>
                <w:ilvl w:val="1"/>
                <w:numId w:val="6"/>
              </w:numPr>
              <w:tabs>
                <w:tab w:val="clear" w:pos="540"/>
              </w:tabs>
              <w:spacing w:line="300" w:lineRule="auto"/>
              <w:ind w:left="459" w:hanging="459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安全操作防范：</w:t>
            </w:r>
          </w:p>
        </w:tc>
        <w:tc>
          <w:tcPr>
            <w:tcW w:w="6262" w:type="dxa"/>
            <w:tcBorders>
              <w:top w:val="single" w:color="auto" w:sz="4" w:space="0"/>
              <w:left w:val="nil"/>
              <w:bottom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hint="default" w:eastAsia="宋体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在具有适当排气通风的场所使用。</w:t>
            </w:r>
            <w:r>
              <w:rPr>
                <w:rFonts w:hint="eastAsia" w:hAnsi="Arial" w:cs="Arial"/>
                <w:kern w:val="0"/>
                <w:sz w:val="24"/>
              </w:rPr>
              <w:t>避免与皮肤和眼睛接触。</w:t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不要呼吸蒸气或喷雾。远离食物，饮料和烟草，休息前及工作结束及时洗手。更换被污染或浸湿的衣物。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3519" w:type="dxa"/>
            <w:tcBorders>
              <w:top w:val="nil"/>
              <w:bottom w:val="single" w:color="auto" w:sz="4" w:space="0"/>
            </w:tcBorders>
          </w:tcPr>
          <w:p>
            <w:pPr>
              <w:numPr>
                <w:ilvl w:val="1"/>
                <w:numId w:val="6"/>
              </w:numPr>
              <w:tabs>
                <w:tab w:val="clear" w:pos="540"/>
              </w:tabs>
              <w:spacing w:line="300" w:lineRule="auto"/>
              <w:ind w:left="459" w:hanging="459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安全储存条件：</w:t>
            </w:r>
          </w:p>
        </w:tc>
        <w:tc>
          <w:tcPr>
            <w:tcW w:w="6262" w:type="dxa"/>
            <w:tcBorders>
              <w:top w:val="nil"/>
              <w:bottom w:val="single" w:color="auto" w:sz="4" w:space="0"/>
            </w:tcBorders>
          </w:tcPr>
          <w:p>
            <w:pPr>
              <w:widowControl/>
              <w:shd w:val="clear" w:color="auto" w:fill="FFFFFF"/>
              <w:spacing w:line="375" w:lineRule="atLeast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容器保持紧闭，存储在</w:t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凉爽</w:t>
            </w:r>
            <w:r>
              <w:rPr>
                <w:rFonts w:hint="eastAsia" w:hAnsi="Arial" w:cs="Arial"/>
                <w:kern w:val="0"/>
                <w:sz w:val="24"/>
              </w:rPr>
              <w:t>通风处。</w:t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为保证</w:t>
            </w:r>
            <w:r>
              <w:rPr>
                <w:rFonts w:hint="eastAsia" w:hAnsi="Arial" w:cs="Arial"/>
                <w:kern w:val="0"/>
                <w:sz w:val="24"/>
              </w:rPr>
              <w:t>产品质量，必须遵守我们产品信息表的储存条件。</w:t>
            </w:r>
            <w:r>
              <w:rPr>
                <w:rFonts w:cs="Arial"/>
                <w:kern w:val="0"/>
                <w:sz w:val="24"/>
              </w:rPr>
              <w:t xml:space="preserve"> </w:t>
            </w:r>
          </w:p>
        </w:tc>
      </w:tr>
    </w:tbl>
    <w:p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86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3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0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8.</w:t>
            </w:r>
            <w:r>
              <w:rPr>
                <w:rFonts w:hint="eastAsia"/>
                <w:b/>
                <w:sz w:val="24"/>
              </w:rPr>
              <w:t>接触控制</w:t>
            </w:r>
            <w:r>
              <w:rPr>
                <w:b/>
                <w:sz w:val="24"/>
              </w:rPr>
              <w:t>/</w:t>
            </w:r>
            <w:r>
              <w:rPr>
                <w:rFonts w:hint="eastAsia"/>
                <w:b/>
                <w:sz w:val="24"/>
              </w:rPr>
              <w:t>个人防护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860" w:type="dxa"/>
            <w:gridSpan w:val="2"/>
            <w:tcBorders>
              <w:top w:val="single" w:color="auto" w:sz="4" w:space="0"/>
              <w:bottom w:val="nil"/>
            </w:tcBorders>
          </w:tcPr>
          <w:p>
            <w:pPr>
              <w:spacing w:line="30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8.1</w:t>
            </w:r>
            <w:r>
              <w:rPr>
                <w:rFonts w:hint="eastAsia"/>
                <w:b/>
                <w:sz w:val="24"/>
              </w:rPr>
              <w:t>暴露控制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呼吸系统防护：</w:t>
            </w:r>
          </w:p>
        </w:tc>
        <w:tc>
          <w:tcPr>
            <w:tcW w:w="6341" w:type="dxa"/>
            <w:tcBorders>
              <w:top w:val="nil"/>
              <w:left w:val="nil"/>
              <w:bottom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喷涂过程中要求有呼吸防护设备。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>
            <w:pPr>
              <w:tabs>
                <w:tab w:val="left" w:pos="3451"/>
              </w:tabs>
              <w:spacing w:line="300" w:lineRule="auto"/>
              <w:ind w:left="3855" w:hanging="3855" w:hangingChars="1600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手部防护： </w:t>
            </w:r>
            <w:r>
              <w:rPr>
                <w:b/>
                <w:sz w:val="24"/>
              </w:rPr>
              <w:tab/>
            </w:r>
            <w:r>
              <w:rPr>
                <w:rFonts w:hint="eastAsia" w:hAnsi="Arial" w:cs="Arial"/>
                <w:kern w:val="0"/>
                <w:sz w:val="24"/>
              </w:rPr>
              <w:t>喷涂过程中要求有呼吸防护设备。</w:t>
            </w:r>
          </w:p>
        </w:tc>
        <w:tc>
          <w:tcPr>
            <w:tcW w:w="6341" w:type="dxa"/>
            <w:tcBorders>
              <w:top w:val="nil"/>
              <w:left w:val="nil"/>
              <w:bottom w:val="nil"/>
            </w:tcBorders>
          </w:tcPr>
          <w:p>
            <w:pPr>
              <w:tabs>
                <w:tab w:val="left" w:pos="3451"/>
              </w:tabs>
              <w:spacing w:line="300" w:lineRule="auto"/>
              <w:ind w:left="3855" w:hanging="3840" w:hangingChars="1600"/>
              <w:rPr>
                <w:rFonts w:hint="default" w:eastAsia="宋体"/>
                <w:b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建议戴上防护手套。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防护手套的合适材料：</w:t>
            </w:r>
          </w:p>
        </w:tc>
        <w:tc>
          <w:tcPr>
            <w:tcW w:w="6341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cs="Arial"/>
                <w:kern w:val="0"/>
                <w:sz w:val="24"/>
              </w:rPr>
              <w:t>EN 374-3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9860" w:type="dxa"/>
            <w:gridSpan w:val="2"/>
            <w:tcBorders>
              <w:top w:val="nil"/>
              <w:bottom w:val="single" w:color="auto" w:sz="4" w:space="0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氟化橡胶</w:t>
            </w:r>
            <w:r>
              <w:rPr>
                <w:rFonts w:cs="Arial"/>
                <w:kern w:val="0"/>
                <w:sz w:val="24"/>
              </w:rPr>
              <w:t xml:space="preserve"> –FKM:</w:t>
            </w:r>
            <w:r>
              <w:rPr>
                <w:rFonts w:hint="eastAsia" w:hAnsi="Arial" w:cs="Arial"/>
                <w:kern w:val="0"/>
                <w:sz w:val="24"/>
              </w:rPr>
              <w:t>厚度≧</w:t>
            </w:r>
            <w:r>
              <w:rPr>
                <w:rFonts w:cs="Arial"/>
                <w:kern w:val="0"/>
                <w:sz w:val="24"/>
              </w:rPr>
              <w:t>0.4mm</w:t>
            </w:r>
            <w:r>
              <w:rPr>
                <w:rFonts w:hint="eastAsia" w:hAnsi="Arial" w:cs="Arial"/>
                <w:kern w:val="0"/>
                <w:sz w:val="24"/>
              </w:rPr>
              <w:t>；穿透时间≧</w:t>
            </w:r>
            <w:r>
              <w:rPr>
                <w:rFonts w:cs="Arial"/>
                <w:kern w:val="0"/>
                <w:sz w:val="24"/>
              </w:rPr>
              <w:t>480min.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9860" w:type="dxa"/>
            <w:gridSpan w:val="2"/>
            <w:tcBorders>
              <w:top w:val="single" w:color="auto" w:sz="4" w:space="0"/>
              <w:bottom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丁基橡胶</w:t>
            </w:r>
            <w:r>
              <w:rPr>
                <w:rFonts w:cs="Arial"/>
                <w:kern w:val="0"/>
                <w:sz w:val="24"/>
              </w:rPr>
              <w:t xml:space="preserve"> –IIR</w:t>
            </w:r>
            <w:r>
              <w:rPr>
                <w:rFonts w:hint="eastAsia" w:hAnsi="Arial" w:cs="Arial"/>
                <w:kern w:val="0"/>
                <w:sz w:val="24"/>
              </w:rPr>
              <w:t>：厚度≧</w:t>
            </w:r>
            <w:r>
              <w:rPr>
                <w:rFonts w:cs="Arial"/>
                <w:kern w:val="0"/>
                <w:sz w:val="24"/>
              </w:rPr>
              <w:t>0.5mm</w:t>
            </w:r>
            <w:r>
              <w:rPr>
                <w:rFonts w:hint="eastAsia" w:hAnsi="Arial" w:cs="Arial"/>
                <w:kern w:val="0"/>
                <w:sz w:val="24"/>
              </w:rPr>
              <w:t>；穿透时间≧</w:t>
            </w:r>
            <w:r>
              <w:rPr>
                <w:rFonts w:cs="Arial"/>
                <w:kern w:val="0"/>
                <w:sz w:val="24"/>
              </w:rPr>
              <w:t>480min.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9860" w:type="dxa"/>
            <w:gridSpan w:val="2"/>
            <w:tcBorders>
              <w:top w:val="nil"/>
              <w:bottom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丁腈橡胶</w:t>
            </w:r>
            <w:r>
              <w:rPr>
                <w:rFonts w:cs="Arial"/>
                <w:kern w:val="0"/>
                <w:sz w:val="24"/>
              </w:rPr>
              <w:t xml:space="preserve"> – NBR</w:t>
            </w:r>
            <w:r>
              <w:rPr>
                <w:rFonts w:hint="eastAsia" w:hAnsi="Arial" w:cs="Arial"/>
                <w:kern w:val="0"/>
                <w:sz w:val="24"/>
              </w:rPr>
              <w:t>：厚度≧</w:t>
            </w:r>
            <w:r>
              <w:rPr>
                <w:rFonts w:cs="Arial"/>
                <w:kern w:val="0"/>
                <w:sz w:val="24"/>
              </w:rPr>
              <w:t>0.35mm</w:t>
            </w:r>
            <w:r>
              <w:rPr>
                <w:rFonts w:hint="eastAsia" w:hAnsi="Arial" w:cs="Arial"/>
                <w:kern w:val="0"/>
                <w:sz w:val="24"/>
              </w:rPr>
              <w:t>；穿透时间≧</w:t>
            </w:r>
            <w:r>
              <w:rPr>
                <w:rFonts w:cs="Arial"/>
                <w:kern w:val="0"/>
                <w:sz w:val="24"/>
              </w:rPr>
              <w:t>480min.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建议：</w:t>
            </w:r>
          </w:p>
        </w:tc>
        <w:tc>
          <w:tcPr>
            <w:tcW w:w="6341" w:type="dxa"/>
            <w:tcBorders>
              <w:top w:val="nil"/>
              <w:left w:val="nil"/>
              <w:bottom w:val="nil"/>
            </w:tcBorders>
          </w:tcPr>
          <w:p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污染的手套应废弃。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眼睛防护：</w:t>
            </w:r>
          </w:p>
        </w:tc>
        <w:tc>
          <w:tcPr>
            <w:tcW w:w="6341" w:type="dxa"/>
            <w:tcBorders>
              <w:top w:val="nil"/>
              <w:left w:val="nil"/>
              <w:bottom w:val="nil"/>
            </w:tcBorders>
          </w:tcPr>
          <w:p>
            <w:pPr>
              <w:spacing w:line="300" w:lineRule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戴</w:t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护目镜</w:t>
            </w:r>
            <w:r>
              <w:rPr>
                <w:rFonts w:hint="eastAsia" w:hAnsi="Arial" w:cs="Arial"/>
                <w:kern w:val="0"/>
                <w:sz w:val="24"/>
              </w:rPr>
              <w:t>/面罩。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tcBorders>
              <w:top w:val="nil"/>
              <w:bottom w:val="single" w:color="auto" w:sz="4" w:space="0"/>
              <w:right w:val="nil"/>
            </w:tcBorders>
          </w:tcPr>
          <w:p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身体防护：</w:t>
            </w:r>
          </w:p>
        </w:tc>
        <w:tc>
          <w:tcPr>
            <w:tcW w:w="6341" w:type="dxa"/>
            <w:tcBorders>
              <w:top w:val="nil"/>
              <w:left w:val="nil"/>
              <w:bottom w:val="single" w:color="auto" w:sz="4" w:space="0"/>
            </w:tcBorders>
          </w:tcPr>
          <w:p>
            <w:pPr>
              <w:spacing w:line="300" w:lineRule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穿着适当的防护服。</w:t>
            </w:r>
          </w:p>
        </w:tc>
      </w:tr>
    </w:tbl>
    <w:p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9. </w:t>
            </w:r>
            <w:r>
              <w:rPr>
                <w:rFonts w:hint="eastAsia"/>
                <w:b/>
                <w:sz w:val="24"/>
              </w:rPr>
              <w:t>物理和化学特性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atLeast"/>
        </w:trPr>
        <w:tc>
          <w:tcPr>
            <w:tcW w:w="3504" w:type="dxa"/>
            <w:tcBorders>
              <w:top w:val="single" w:color="auto" w:sz="4" w:space="0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ind w:left="732" w:hanging="732"/>
              <w:jc w:val="both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外观：</w:t>
            </w:r>
          </w:p>
        </w:tc>
        <w:tc>
          <w:tcPr>
            <w:tcW w:w="6277" w:type="dxa"/>
            <w:tcBorders>
              <w:top w:val="single" w:color="auto" w:sz="4" w:space="0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cs="宋体"/>
                <w:color w:val="000000" w:themeColor="text1"/>
                <w:kern w:val="0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泛蓝光半透明乳液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 xml:space="preserve"> </w:t>
            </w:r>
            <w:r>
              <w:rPr>
                <w:rFonts w:hint="eastAsia"/>
                <w:b/>
                <w:sz w:val="24"/>
              </w:rPr>
              <w:t xml:space="preserve">嗅觉阀值： </w:t>
            </w:r>
            <w:r>
              <w:rPr>
                <w:b/>
                <w:sz w:val="24"/>
              </w:rPr>
              <w:t xml:space="preserve">     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 xml:space="preserve"> </w:t>
            </w:r>
            <w:r>
              <w:rPr>
                <w:b/>
                <w:sz w:val="24"/>
              </w:rPr>
              <w:t>pH</w:t>
            </w:r>
            <w:r>
              <w:rPr>
                <w:rFonts w:hint="eastAsia"/>
                <w:b/>
                <w:sz w:val="24"/>
              </w:rPr>
              <w:t>值（</w:t>
            </w:r>
            <w:r>
              <w:rPr>
                <w:b/>
                <w:sz w:val="24"/>
              </w:rPr>
              <w:t>1%</w:t>
            </w:r>
            <w:r>
              <w:rPr>
                <w:rFonts w:hint="eastAsia"/>
                <w:b/>
                <w:sz w:val="24"/>
              </w:rPr>
              <w:t>水溶液）：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tabs>
                <w:tab w:val="left" w:pos="3960"/>
              </w:tabs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7-9</w:t>
            </w:r>
            <w:r>
              <w:rPr>
                <w:sz w:val="24"/>
              </w:rPr>
              <w:t xml:space="preserve">                           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 xml:space="preserve"> </w:t>
            </w:r>
            <w:r>
              <w:rPr>
                <w:rFonts w:hint="eastAsia"/>
                <w:b/>
                <w:sz w:val="24"/>
              </w:rPr>
              <w:t>离子性：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tabs>
                <w:tab w:val="left" w:pos="3960"/>
              </w:tabs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阴离子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 xml:space="preserve"> </w:t>
            </w:r>
            <w:r>
              <w:rPr>
                <w:rFonts w:hint="eastAsia"/>
                <w:b/>
                <w:sz w:val="24"/>
              </w:rPr>
              <w:t>初沸点：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约</w:t>
            </w:r>
            <w:r>
              <w:rPr>
                <w:sz w:val="24"/>
              </w:rPr>
              <w:t>100</w:t>
            </w:r>
            <w:r>
              <w:rPr>
                <w:rFonts w:hint="eastAsia"/>
                <w:sz w:val="24"/>
              </w:rPr>
              <w:t>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 xml:space="preserve"> </w:t>
            </w:r>
            <w:r>
              <w:rPr>
                <w:rFonts w:hint="eastAsia"/>
                <w:b/>
                <w:sz w:val="24"/>
              </w:rPr>
              <w:t>闪点：</w:t>
            </w:r>
            <w:r>
              <w:rPr>
                <w:b/>
                <w:sz w:val="24"/>
              </w:rPr>
              <w:t xml:space="preserve">    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不适用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 xml:space="preserve"> </w:t>
            </w:r>
            <w:r>
              <w:rPr>
                <w:rFonts w:hint="eastAsia"/>
                <w:b/>
                <w:sz w:val="24"/>
              </w:rPr>
              <w:t>蒸发速率：</w:t>
            </w:r>
            <w:r>
              <w:rPr>
                <w:b/>
                <w:sz w:val="24"/>
              </w:rPr>
              <w:t xml:space="preserve">     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 xml:space="preserve"> </w:t>
            </w:r>
            <w:r>
              <w:rPr>
                <w:rFonts w:hint="eastAsia"/>
                <w:b/>
                <w:sz w:val="24"/>
              </w:rPr>
              <w:t>可燃性（固态、气态）：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不适用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 xml:space="preserve"> </w:t>
            </w:r>
            <w:r>
              <w:rPr>
                <w:rFonts w:hint="eastAsia"/>
                <w:b/>
                <w:sz w:val="24"/>
              </w:rPr>
              <w:t>燃烧值：</w:t>
            </w:r>
            <w:r>
              <w:rPr>
                <w:b/>
                <w:sz w:val="24"/>
              </w:rPr>
              <w:t xml:space="preserve">      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color w:val="FF0000"/>
                <w:sz w:val="24"/>
              </w:rPr>
            </w:pPr>
            <w:r>
              <w:rPr>
                <w:rFonts w:hint="eastAsia"/>
                <w:sz w:val="24"/>
              </w:rPr>
              <w:t>不适用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 xml:space="preserve"> </w:t>
            </w:r>
            <w:r>
              <w:rPr>
                <w:rFonts w:hint="eastAsia"/>
                <w:b/>
                <w:sz w:val="24"/>
              </w:rPr>
              <w:t>饱和蒸气压：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约</w:t>
            </w:r>
            <w:r>
              <w:rPr>
                <w:sz w:val="24"/>
              </w:rPr>
              <w:t>130hPa</w:t>
            </w:r>
            <w:r>
              <w:rPr>
                <w:rFonts w:hint="eastAsia"/>
                <w:sz w:val="24"/>
              </w:rPr>
              <w:t>在</w:t>
            </w:r>
            <w:r>
              <w:rPr>
                <w:sz w:val="24"/>
              </w:rPr>
              <w:t>50</w:t>
            </w:r>
            <w:r>
              <w:rPr>
                <w:rFonts w:hint="eastAsia"/>
                <w:sz w:val="24"/>
              </w:rPr>
              <w:t>℃</w:t>
            </w:r>
            <w:r>
              <w:rPr>
                <w:sz w:val="24"/>
              </w:rPr>
              <w:t xml:space="preserve">                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 xml:space="preserve"> </w:t>
            </w:r>
            <w:r>
              <w:rPr>
                <w:rFonts w:hint="eastAsia"/>
                <w:b/>
                <w:sz w:val="24"/>
              </w:rPr>
              <w:t>相对蒸气密度：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 xml:space="preserve"> </w:t>
            </w:r>
            <w:r>
              <w:rPr>
                <w:rFonts w:hint="eastAsia"/>
                <w:b/>
                <w:sz w:val="24"/>
              </w:rPr>
              <w:t>密度：</w:t>
            </w:r>
            <w:r>
              <w:rPr>
                <w:b/>
                <w:sz w:val="24"/>
              </w:rPr>
              <w:t xml:space="preserve"> 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autoSpaceDE w:val="0"/>
              <w:autoSpaceDN w:val="0"/>
              <w:adjustRightInd w:val="0"/>
              <w:spacing w:line="300" w:lineRule="auto"/>
              <w:rPr>
                <w:sz w:val="24"/>
                <w:vertAlign w:val="superscript"/>
              </w:rPr>
            </w:pPr>
            <w:r>
              <w:rPr>
                <w:rFonts w:hint="eastAsia"/>
                <w:sz w:val="24"/>
              </w:rPr>
              <w:t>1.0-1.1</w:t>
            </w:r>
            <w:r>
              <w:rPr>
                <w:sz w:val="24"/>
              </w:rPr>
              <w:t>g/cm</w:t>
            </w:r>
            <w:r>
              <w:rPr>
                <w:sz w:val="24"/>
                <w:vertAlign w:val="superscript"/>
              </w:rPr>
              <w:t xml:space="preserve">3               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  <w:lang w:val="en-US" w:eastAsia="zh-CN"/>
              </w:rPr>
              <w:t xml:space="preserve"> </w:t>
            </w:r>
            <w:r>
              <w:rPr>
                <w:rFonts w:hint="eastAsia" w:hAnsi="Arial" w:cs="Arial"/>
                <w:b/>
                <w:kern w:val="0"/>
                <w:sz w:val="24"/>
              </w:rPr>
              <w:t>水溶性：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完全混溶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  <w:lang w:val="en-US" w:eastAsia="zh-CN"/>
              </w:rPr>
              <w:t xml:space="preserve"> </w:t>
            </w:r>
            <w:r>
              <w:rPr>
                <w:rFonts w:hint="eastAsia" w:hAnsi="Arial" w:cs="Arial"/>
                <w:b/>
                <w:kern w:val="0"/>
                <w:sz w:val="24"/>
              </w:rPr>
              <w:t>表面张力：</w:t>
            </w:r>
            <w:r>
              <w:rPr>
                <w:rFonts w:cs="Arial"/>
                <w:kern w:val="0"/>
                <w:sz w:val="24"/>
              </w:rPr>
              <w:t xml:space="preserve">  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无数据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  <w:lang w:val="en-US" w:eastAsia="zh-CN"/>
              </w:rPr>
              <w:t xml:space="preserve"> </w:t>
            </w:r>
            <w:r>
              <w:rPr>
                <w:rFonts w:hint="eastAsia" w:hAnsi="Arial" w:cs="Arial"/>
                <w:b/>
                <w:kern w:val="0"/>
                <w:sz w:val="24"/>
              </w:rPr>
              <w:t>辛醇</w:t>
            </w:r>
            <w:r>
              <w:rPr>
                <w:rFonts w:cs="Arial"/>
                <w:b/>
                <w:kern w:val="0"/>
                <w:sz w:val="24"/>
              </w:rPr>
              <w:t>/</w:t>
            </w:r>
            <w:r>
              <w:rPr>
                <w:rFonts w:hint="eastAsia" w:hAnsi="Arial" w:cs="Arial"/>
                <w:b/>
                <w:kern w:val="0"/>
                <w:sz w:val="24"/>
              </w:rPr>
              <w:t>水分配系数对数值</w:t>
            </w:r>
            <w:r>
              <w:rPr>
                <w:rFonts w:hint="eastAsia" w:hAnsi="Arial" w:cs="Arial"/>
                <w:kern w:val="0"/>
                <w:sz w:val="24"/>
              </w:rPr>
              <w:t>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  <w:vertAlign w:val="subscript"/>
              </w:rPr>
            </w:pPr>
            <w:r>
              <w:rPr>
                <w:rFonts w:hint="eastAsia" w:hAnsi="Arial" w:cs="Arial"/>
                <w:kern w:val="0"/>
                <w:sz w:val="24"/>
              </w:rPr>
              <w:t>无数据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top"/>
          </w:tcPr>
          <w:p>
            <w:pPr>
              <w:numPr>
                <w:ilvl w:val="0"/>
                <w:numId w:val="7"/>
              </w:numPr>
              <w:spacing w:line="300" w:lineRule="auto"/>
              <w:ind w:left="420" w:leftChars="0" w:hanging="420" w:firstLineChars="0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  <w:lang w:val="en-US" w:eastAsia="zh-CN"/>
              </w:rPr>
              <w:t xml:space="preserve"> </w:t>
            </w:r>
            <w:r>
              <w:rPr>
                <w:rFonts w:hint="eastAsia" w:hAnsi="Arial" w:cs="Arial"/>
                <w:b/>
                <w:kern w:val="0"/>
                <w:sz w:val="24"/>
              </w:rPr>
              <w:t>自燃温度：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不适用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  <w:vAlign w:val="top"/>
          </w:tcPr>
          <w:p>
            <w:pPr>
              <w:numPr>
                <w:ilvl w:val="0"/>
                <w:numId w:val="7"/>
              </w:numPr>
              <w:spacing w:line="300" w:lineRule="auto"/>
              <w:ind w:left="420" w:leftChars="0" w:hanging="420" w:firstLineChars="0"/>
              <w:rPr>
                <w:rFonts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hAnsi="Arial" w:cs="Arial"/>
                <w:b/>
                <w:kern w:val="0"/>
                <w:sz w:val="24"/>
                <w:lang w:val="en-US" w:eastAsia="zh-CN"/>
              </w:rPr>
              <w:t xml:space="preserve"> </w:t>
            </w:r>
            <w:r>
              <w:rPr>
                <w:rFonts w:hint="eastAsia" w:hAnsi="Arial" w:cs="Arial"/>
                <w:b/>
                <w:kern w:val="0"/>
                <w:sz w:val="24"/>
              </w:rPr>
              <w:t>引燃温度：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rFonts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hAnsi="Arial" w:cs="Arial"/>
                <w:kern w:val="0"/>
                <w:sz w:val="24"/>
              </w:rPr>
              <w:t>无数据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rFonts w:hint="eastAsia"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hAnsi="Arial" w:cs="Arial"/>
                <w:b/>
                <w:kern w:val="0"/>
                <w:sz w:val="24"/>
                <w:lang w:val="en-US" w:eastAsia="zh-CN"/>
              </w:rPr>
              <w:t xml:space="preserve"> </w:t>
            </w:r>
            <w:r>
              <w:rPr>
                <w:rFonts w:hint="eastAsia" w:hAnsi="Arial" w:cs="Arial"/>
                <w:b/>
                <w:kern w:val="0"/>
                <w:sz w:val="24"/>
              </w:rPr>
              <w:t>分解温度：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hAnsi="Arial" w:cs="Arial"/>
                <w:kern w:val="0"/>
                <w:sz w:val="24"/>
              </w:rPr>
              <w:t>无数据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pStyle w:val="10"/>
              <w:numPr>
                <w:ilvl w:val="0"/>
                <w:numId w:val="7"/>
              </w:numPr>
              <w:spacing w:line="300" w:lineRule="auto"/>
              <w:ind w:firstLineChars="0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  <w:lang w:val="en-US" w:eastAsia="zh-CN"/>
              </w:rPr>
              <w:t xml:space="preserve"> </w:t>
            </w:r>
            <w:r>
              <w:rPr>
                <w:rFonts w:hint="eastAsia" w:hAnsi="Arial" w:cs="Arial"/>
                <w:b/>
                <w:kern w:val="0"/>
                <w:sz w:val="24"/>
              </w:rPr>
              <w:t>动力粘度：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top"/>
          </w:tcPr>
          <w:p>
            <w:pPr>
              <w:pStyle w:val="10"/>
              <w:spacing w:line="300" w:lineRule="auto"/>
              <w:ind w:right="34" w:rightChars="16" w:firstLine="0" w:firstLineChars="0"/>
              <w:rPr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＜</w:t>
            </w:r>
            <w:r>
              <w:rPr>
                <w:rFonts w:hint="eastAsia" w:cs="Arial"/>
                <w:kern w:val="0"/>
                <w:sz w:val="24"/>
                <w:lang w:val="en-US" w:eastAsia="zh-CN"/>
              </w:rPr>
              <w:t>25</w:t>
            </w:r>
            <w:r>
              <w:rPr>
                <w:rFonts w:hint="eastAsia" w:cs="Arial"/>
                <w:kern w:val="0"/>
                <w:sz w:val="24"/>
              </w:rPr>
              <w:t>0</w:t>
            </w:r>
            <w:r>
              <w:rPr>
                <w:rFonts w:cs="Arial"/>
                <w:kern w:val="0"/>
                <w:sz w:val="24"/>
              </w:rPr>
              <w:t>mPa.s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  <w:lang w:val="en-US" w:eastAsia="zh-CN"/>
              </w:rPr>
              <w:t xml:space="preserve"> </w:t>
            </w:r>
            <w:r>
              <w:rPr>
                <w:rFonts w:hint="eastAsia" w:hAnsi="Arial" w:cs="Arial"/>
                <w:b/>
                <w:kern w:val="0"/>
                <w:sz w:val="24"/>
              </w:rPr>
              <w:t>爆炸特性：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top"/>
          </w:tcPr>
          <w:p>
            <w:pPr>
              <w:pStyle w:val="10"/>
              <w:spacing w:line="300" w:lineRule="auto"/>
              <w:ind w:right="34" w:rightChars="16" w:firstLine="0" w:firstLineChars="0"/>
              <w:rPr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无数据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tabs>
                <w:tab w:val="left" w:pos="417"/>
              </w:tabs>
              <w:spacing w:line="300" w:lineRule="auto"/>
              <w:rPr>
                <w:b/>
                <w:sz w:val="24"/>
              </w:rPr>
            </w:pPr>
            <w:r>
              <w:rPr>
                <w:rFonts w:cs="Arial"/>
                <w:b/>
                <w:kern w:val="0"/>
                <w:sz w:val="24"/>
              </w:rPr>
              <w:t xml:space="preserve">9.20 </w:t>
            </w:r>
            <w:r>
              <w:rPr>
                <w:rFonts w:hint="eastAsia" w:hAnsi="Arial" w:cs="Arial"/>
                <w:b/>
                <w:kern w:val="0"/>
                <w:sz w:val="24"/>
              </w:rPr>
              <w:t>粉尘爆炸级别：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top"/>
          </w:tcPr>
          <w:p>
            <w:pPr>
              <w:pStyle w:val="10"/>
              <w:spacing w:line="300" w:lineRule="auto"/>
              <w:ind w:right="34" w:rightChars="16" w:firstLine="0" w:firstLineChars="0"/>
              <w:rPr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不适用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tabs>
                <w:tab w:val="left" w:pos="938"/>
              </w:tabs>
              <w:spacing w:line="300" w:lineRule="auto"/>
              <w:rPr>
                <w:rFonts w:cs="Arial"/>
                <w:kern w:val="0"/>
                <w:sz w:val="24"/>
              </w:rPr>
            </w:pPr>
            <w:r>
              <w:rPr>
                <w:rFonts w:cs="Arial"/>
                <w:b/>
                <w:kern w:val="0"/>
                <w:sz w:val="24"/>
              </w:rPr>
              <w:t>9.21</w:t>
            </w:r>
            <w:r>
              <w:rPr>
                <w:rFonts w:hint="eastAsia" w:cs="Arial"/>
                <w:b/>
                <w:kern w:val="0"/>
                <w:sz w:val="24"/>
                <w:lang w:val="en-US" w:eastAsia="zh-CN"/>
              </w:rPr>
              <w:t xml:space="preserve"> </w:t>
            </w:r>
            <w:r>
              <w:rPr>
                <w:rFonts w:hint="eastAsia" w:cs="Arial"/>
                <w:b/>
                <w:kern w:val="0"/>
                <w:sz w:val="24"/>
              </w:rPr>
              <w:t>固体含量：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top"/>
          </w:tcPr>
          <w:p>
            <w:pPr>
              <w:pStyle w:val="10"/>
              <w:spacing w:line="300" w:lineRule="auto"/>
              <w:ind w:right="34" w:rightChars="16" w:firstLine="0" w:firstLineChars="0"/>
              <w:rPr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30</w:t>
            </w:r>
            <w:r>
              <w:rPr>
                <w:rFonts w:hint="eastAsia"/>
                <w:sz w:val="24"/>
              </w:rPr>
              <w:t>±2</w:t>
            </w:r>
            <w:r>
              <w:rPr>
                <w:rFonts w:hint="eastAsia" w:cs="Arial"/>
                <w:kern w:val="0"/>
                <w:sz w:val="24"/>
              </w:rPr>
              <w:t>%</w:t>
            </w:r>
            <w:r>
              <w:rPr>
                <w:rFonts w:hint="eastAsia"/>
                <w:kern w:val="0"/>
                <w:sz w:val="24"/>
              </w:rPr>
              <w:t>（</w:t>
            </w:r>
            <w:r>
              <w:rPr>
                <w:kern w:val="0"/>
                <w:sz w:val="24"/>
              </w:rPr>
              <w:t>150</w:t>
            </w:r>
            <w:r>
              <w:rPr>
                <w:rFonts w:hint="eastAsia"/>
                <w:kern w:val="0"/>
                <w:sz w:val="24"/>
              </w:rPr>
              <w:t>℃，</w:t>
            </w:r>
            <w:r>
              <w:rPr>
                <w:rFonts w:hint="eastAsia"/>
                <w:kern w:val="0"/>
                <w:sz w:val="24"/>
                <w:lang w:val="en-US" w:eastAsia="zh-CN"/>
              </w:rPr>
              <w:t>30</w:t>
            </w:r>
            <w:r>
              <w:rPr>
                <w:kern w:val="0"/>
                <w:sz w:val="24"/>
              </w:rPr>
              <w:t>min</w:t>
            </w:r>
            <w:r>
              <w:rPr>
                <w:rFonts w:hint="eastAsia"/>
                <w:kern w:val="0"/>
                <w:sz w:val="24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nil"/>
              <w:bottom w:val="single" w:color="auto" w:sz="4" w:space="0"/>
              <w:right w:val="nil"/>
            </w:tcBorders>
          </w:tcPr>
          <w:p>
            <w:pPr>
              <w:spacing w:line="300" w:lineRule="auto"/>
              <w:rPr>
                <w:rFonts w:cs="Arial"/>
                <w:b/>
                <w:kern w:val="0"/>
                <w:sz w:val="24"/>
              </w:rPr>
            </w:pPr>
            <w:r>
              <w:rPr>
                <w:rFonts w:cs="Arial"/>
                <w:b/>
                <w:kern w:val="0"/>
                <w:sz w:val="24"/>
              </w:rPr>
              <w:t>9.22</w:t>
            </w:r>
            <w:r>
              <w:rPr>
                <w:rFonts w:hint="eastAsia" w:cs="Arial"/>
                <w:b/>
                <w:kern w:val="0"/>
                <w:sz w:val="24"/>
                <w:lang w:val="en-US" w:eastAsia="zh-CN"/>
              </w:rPr>
              <w:t xml:space="preserve"> </w:t>
            </w:r>
            <w:r>
              <w:rPr>
                <w:rFonts w:hint="eastAsia" w:cs="Arial"/>
                <w:b/>
                <w:kern w:val="0"/>
                <w:sz w:val="24"/>
              </w:rPr>
              <w:t>其他信息：</w:t>
            </w:r>
          </w:p>
        </w:tc>
        <w:tc>
          <w:tcPr>
            <w:tcW w:w="6277" w:type="dxa"/>
            <w:tcBorders>
              <w:top w:val="nil"/>
              <w:left w:val="nil"/>
              <w:bottom w:val="single" w:color="auto" w:sz="4" w:space="0"/>
            </w:tcBorders>
            <w:vAlign w:val="top"/>
          </w:tcPr>
          <w:p>
            <w:pPr>
              <w:pStyle w:val="10"/>
              <w:spacing w:line="300" w:lineRule="auto"/>
              <w:ind w:right="34" w:rightChars="16" w:firstLine="0" w:firstLineChars="0"/>
              <w:rPr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上述数据非产品指标，产品指标请参见产品技术信息表。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10.</w:t>
            </w:r>
            <w:r>
              <w:rPr>
                <w:rFonts w:hint="eastAsia" w:hAnsi="Arial"/>
                <w:b/>
                <w:sz w:val="24"/>
              </w:rPr>
              <w:t>稳定性和反应性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3504" w:type="dxa"/>
            <w:tcBorders>
              <w:top w:val="single" w:color="auto" w:sz="4" w:space="0"/>
              <w:bottom w:val="nil"/>
              <w:right w:val="nil"/>
            </w:tcBorders>
          </w:tcPr>
          <w:p>
            <w:pPr>
              <w:numPr>
                <w:ilvl w:val="0"/>
                <w:numId w:val="8"/>
              </w:numPr>
              <w:tabs>
                <w:tab w:val="left" w:pos="601"/>
              </w:tabs>
              <w:spacing w:line="300" w:lineRule="auto"/>
              <w:ind w:left="601" w:hanging="601"/>
              <w:rPr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化学稳定性：</w:t>
            </w:r>
          </w:p>
        </w:tc>
        <w:tc>
          <w:tcPr>
            <w:tcW w:w="6277" w:type="dxa"/>
            <w:tcBorders>
              <w:top w:val="single" w:color="auto" w:sz="4" w:space="0"/>
              <w:left w:val="nil"/>
              <w:bottom w:val="nil"/>
            </w:tcBorders>
          </w:tcPr>
          <w:p>
            <w:pPr>
              <w:spacing w:line="300" w:lineRule="auto"/>
              <w:ind w:left="-25" w:leftChars="-12" w:right="480" w:firstLine="26" w:firstLineChars="11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根据规范使用，不会发生分解。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8"/>
              </w:numPr>
              <w:tabs>
                <w:tab w:val="left" w:pos="601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危险分解产物：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</w:tcPr>
          <w:p>
            <w:pPr>
              <w:spacing w:line="300" w:lineRule="auto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 w:hAnsi="Arial"/>
                <w:sz w:val="24"/>
              </w:rPr>
              <w:t>涂料在干燥</w:t>
            </w:r>
            <w:r>
              <w:rPr>
                <w:rFonts w:hint="eastAsia" w:hAnsi="Arial"/>
                <w:sz w:val="24"/>
                <w:lang w:val="en-US" w:eastAsia="zh-CN"/>
              </w:rPr>
              <w:t>/</w:t>
            </w:r>
            <w:r>
              <w:rPr>
                <w:rFonts w:hint="eastAsia" w:hAnsi="Arial"/>
                <w:sz w:val="24"/>
              </w:rPr>
              <w:t>固化时，释放出中和剂</w:t>
            </w:r>
            <w:r>
              <w:rPr>
                <w:rFonts w:hint="eastAsia" w:hAnsi="Arial"/>
                <w:sz w:val="24"/>
                <w:lang w:eastAsia="zh-CN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3504" w:type="dxa"/>
            <w:tcBorders>
              <w:top w:val="nil"/>
              <w:bottom w:val="single" w:color="auto" w:sz="4" w:space="0"/>
              <w:right w:val="nil"/>
            </w:tcBorders>
          </w:tcPr>
          <w:p>
            <w:pPr>
              <w:numPr>
                <w:ilvl w:val="0"/>
                <w:numId w:val="8"/>
              </w:numPr>
              <w:tabs>
                <w:tab w:val="left" w:pos="601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可能的危害反应：</w:t>
            </w:r>
          </w:p>
        </w:tc>
        <w:tc>
          <w:tcPr>
            <w:tcW w:w="6277" w:type="dxa"/>
            <w:tcBorders>
              <w:top w:val="nil"/>
              <w:left w:val="nil"/>
              <w:bottom w:val="single" w:color="auto" w:sz="4" w:space="0"/>
            </w:tcBorders>
          </w:tcPr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正确储存或操作时，无危害反应。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l2br w:val="nil"/>
              <w:tr2bl w:val="nil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11.</w:t>
            </w:r>
            <w:r>
              <w:rPr>
                <w:rFonts w:hint="eastAsia" w:hAnsi="Arial"/>
                <w:b/>
                <w:sz w:val="24"/>
              </w:rPr>
              <w:t>毒性资料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781" w:type="dxa"/>
            <w:gridSpan w:val="2"/>
            <w:tcBorders>
              <w:tl2br w:val="nil"/>
              <w:tr2bl w:val="nil"/>
            </w:tcBorders>
          </w:tcPr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该产品无可用的毒理学研究。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781" w:type="dxa"/>
            <w:gridSpan w:val="2"/>
            <w:tcBorders>
              <w:tl2br w:val="nil"/>
              <w:tr2bl w:val="nil"/>
            </w:tcBorders>
          </w:tcPr>
          <w:p>
            <w:pPr>
              <w:spacing w:line="300" w:lineRule="auto"/>
              <w:ind w:left="34" w:leftChars="16" w:right="480"/>
              <w:rPr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以下</w:t>
            </w:r>
            <w:r>
              <w:rPr>
                <w:rFonts w:hint="eastAsia" w:hAnsi="Arial"/>
                <w:b w:val="0"/>
                <w:bCs w:val="0"/>
                <w:sz w:val="24"/>
                <w:lang w:val="en-US" w:eastAsia="zh-CN"/>
              </w:rPr>
              <w:t>是</w:t>
            </w:r>
            <w:r>
              <w:rPr>
                <w:b w:val="0"/>
                <w:bCs w:val="0"/>
                <w:sz w:val="24"/>
              </w:rPr>
              <w:t>N-乙基吡咯烷酮</w:t>
            </w:r>
            <w:r>
              <w:rPr>
                <w:rFonts w:hint="eastAsia" w:hAnsi="Arial"/>
                <w:b w:val="0"/>
                <w:bCs/>
                <w:sz w:val="24"/>
              </w:rPr>
              <w:t>毒理学</w:t>
            </w:r>
            <w:r>
              <w:rPr>
                <w:rFonts w:hint="eastAsia" w:hAnsi="Arial"/>
                <w:b w:val="0"/>
                <w:bCs/>
                <w:sz w:val="24"/>
                <w:lang w:val="en-US" w:eastAsia="zh-CN"/>
              </w:rPr>
              <w:t>数据</w:t>
            </w:r>
            <w:r>
              <w:rPr>
                <w:rFonts w:hint="eastAsia" w:hAnsi="Arial"/>
                <w:b w:val="0"/>
                <w:bCs/>
                <w:sz w:val="24"/>
              </w:rPr>
              <w:t>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l2br w:val="nil"/>
              <w:tr2bl w:val="nil"/>
            </w:tcBorders>
          </w:tcPr>
          <w:p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急性毒性</w:t>
            </w:r>
            <w:r>
              <w:rPr>
                <w:rFonts w:hint="eastAsia" w:hAnsi="Arial"/>
                <w:sz w:val="24"/>
              </w:rPr>
              <w:t>：</w:t>
            </w:r>
          </w:p>
        </w:tc>
        <w:tc>
          <w:tcPr>
            <w:tcW w:w="6262" w:type="dxa"/>
            <w:tcBorders>
              <w:tl2br w:val="nil"/>
              <w:tr2bl w:val="nil"/>
            </w:tcBorders>
          </w:tcPr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经口</w:t>
            </w:r>
            <w:r>
              <w:rPr>
                <w:rFonts w:hint="eastAsia" w:hAnsi="Arial"/>
                <w:sz w:val="24"/>
                <w:lang w:eastAsia="zh-CN"/>
              </w:rPr>
              <w:t>：</w:t>
            </w:r>
            <w:r>
              <w:rPr>
                <w:rFonts w:hint="eastAsia"/>
                <w:sz w:val="24"/>
                <w:lang w:val="en-US" w:eastAsia="zh-CN"/>
              </w:rPr>
              <w:t>半数致死剂量（LD50）</w:t>
            </w:r>
            <w:r>
              <w:rPr>
                <w:rFonts w:hint="eastAsia" w:hAnsi="Arial"/>
                <w:sz w:val="24"/>
                <w:lang w:val="en-US" w:eastAsia="zh-CN"/>
              </w:rPr>
              <w:t>/</w:t>
            </w:r>
            <w:r>
              <w:rPr>
                <w:rFonts w:hint="eastAsia" w:hAnsi="Arial"/>
                <w:sz w:val="24"/>
              </w:rPr>
              <w:t>大鼠：</w:t>
            </w:r>
            <w:r>
              <w:rPr>
                <w:rFonts w:hint="eastAsia" w:hAnsi="Arial"/>
                <w:sz w:val="24"/>
                <w:lang w:val="en-US" w:eastAsia="zh-CN"/>
              </w:rPr>
              <w:t>3,200</w:t>
            </w:r>
            <w:r>
              <w:rPr>
                <w:sz w:val="24"/>
              </w:rPr>
              <w:t>mg/kg</w:t>
            </w:r>
          </w:p>
          <w:p>
            <w:pPr>
              <w:spacing w:line="300" w:lineRule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吸入：半数致死浓度（LC50）/4h/大鼠：＞5.1mg/l</w:t>
            </w:r>
          </w:p>
          <w:p>
            <w:pPr>
              <w:spacing w:line="300" w:lineRule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经皮：</w:t>
            </w:r>
            <w:r>
              <w:rPr>
                <w:rFonts w:hint="eastAsia"/>
                <w:sz w:val="24"/>
                <w:lang w:val="en-US" w:eastAsia="zh-CN"/>
              </w:rPr>
              <w:t>半数致死剂量（LD50）</w:t>
            </w:r>
            <w:r>
              <w:rPr>
                <w:rFonts w:hint="eastAsia" w:hAnsi="Arial"/>
                <w:sz w:val="24"/>
                <w:lang w:val="en-US" w:eastAsia="zh-CN"/>
              </w:rPr>
              <w:t>/大鼠</w:t>
            </w:r>
            <w:r>
              <w:rPr>
                <w:rFonts w:hint="eastAsia" w:hAnsi="Arial"/>
                <w:sz w:val="24"/>
              </w:rPr>
              <w:t>：</w:t>
            </w:r>
            <w:r>
              <w:rPr>
                <w:rFonts w:hint="eastAsia" w:hAnsi="Arial"/>
                <w:sz w:val="24"/>
                <w:lang w:val="en-US" w:eastAsia="zh-CN"/>
              </w:rPr>
              <w:t>＞2,000</w:t>
            </w:r>
            <w:r>
              <w:rPr>
                <w:sz w:val="24"/>
              </w:rPr>
              <w:t>mg/kg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l2br w:val="nil"/>
              <w:tr2bl w:val="nil"/>
            </w:tcBorders>
          </w:tcPr>
          <w:p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主要皮肤刺激性</w:t>
            </w:r>
            <w:r>
              <w:rPr>
                <w:rFonts w:hint="eastAsia" w:hAnsi="Arial"/>
                <w:sz w:val="24"/>
              </w:rPr>
              <w:t>：</w:t>
            </w:r>
          </w:p>
        </w:tc>
        <w:tc>
          <w:tcPr>
            <w:tcW w:w="6262" w:type="dxa"/>
            <w:tcBorders>
              <w:tl2br w:val="nil"/>
              <w:tr2bl w:val="nil"/>
            </w:tcBorders>
          </w:tcPr>
          <w:p>
            <w:pPr>
              <w:spacing w:line="300" w:lineRule="auto"/>
              <w:ind w:right="480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物种：兔子</w:t>
            </w:r>
          </w:p>
          <w:p>
            <w:pPr>
              <w:spacing w:line="300" w:lineRule="auto"/>
              <w:ind w:right="480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分类：不是刺激皮肤物质</w:t>
            </w:r>
          </w:p>
          <w:p>
            <w:pPr>
              <w:spacing w:line="300" w:lineRule="auto"/>
              <w:ind w:right="480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结果：未引起实验室动物皮肤刺激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l2br w:val="nil"/>
              <w:tr2bl w:val="nil"/>
            </w:tcBorders>
          </w:tcPr>
          <w:p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主要粘膜刺激性</w:t>
            </w:r>
            <w:r>
              <w:rPr>
                <w:rFonts w:hint="eastAsia" w:hAnsi="Arial"/>
                <w:sz w:val="24"/>
              </w:rPr>
              <w:t>：</w:t>
            </w:r>
          </w:p>
        </w:tc>
        <w:tc>
          <w:tcPr>
            <w:tcW w:w="6262" w:type="dxa"/>
            <w:tcBorders>
              <w:tl2br w:val="nil"/>
              <w:tr2bl w:val="nil"/>
            </w:tcBorders>
          </w:tcPr>
          <w:p>
            <w:pPr>
              <w:spacing w:line="300" w:lineRule="auto"/>
              <w:ind w:right="480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物种：兔子</w:t>
            </w:r>
          </w:p>
          <w:p>
            <w:pPr>
              <w:spacing w:line="300" w:lineRule="auto"/>
              <w:ind w:right="480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分类：刺激眼睛</w:t>
            </w:r>
          </w:p>
          <w:p>
            <w:pPr>
              <w:spacing w:line="300" w:lineRule="auto"/>
              <w:ind w:right="480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结果：可对眼睛造成严重损伤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7" w:hRule="atLeast"/>
        </w:trPr>
        <w:tc>
          <w:tcPr>
            <w:tcW w:w="3519" w:type="dxa"/>
            <w:tcBorders>
              <w:tl2br w:val="nil"/>
              <w:tr2bl w:val="nil"/>
            </w:tcBorders>
          </w:tcPr>
          <w:p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致敏性</w:t>
            </w:r>
            <w:r>
              <w:rPr>
                <w:rFonts w:hint="eastAsia" w:hAnsi="Arial"/>
                <w:sz w:val="24"/>
              </w:rPr>
              <w:t>：</w:t>
            </w:r>
          </w:p>
        </w:tc>
        <w:tc>
          <w:tcPr>
            <w:tcW w:w="6262" w:type="dxa"/>
            <w:tcBorders>
              <w:tl2br w:val="nil"/>
              <w:tr2bl w:val="nil"/>
            </w:tcBorders>
          </w:tcPr>
          <w:p>
            <w:pPr>
              <w:spacing w:line="300" w:lineRule="auto"/>
              <w:ind w:right="480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物种：小鼠</w:t>
            </w:r>
          </w:p>
          <w:p>
            <w:pPr>
              <w:spacing w:line="300" w:lineRule="auto"/>
              <w:ind w:right="480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分类：不是皮肤过敏物质</w:t>
            </w:r>
          </w:p>
          <w:p>
            <w:pPr>
              <w:spacing w:line="300" w:lineRule="auto"/>
              <w:ind w:right="480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结果：未引起实验室动物过敏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l2br w:val="nil"/>
              <w:tr2bl w:val="nil"/>
            </w:tcBorders>
          </w:tcPr>
          <w:p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致突变性：</w:t>
            </w:r>
          </w:p>
        </w:tc>
        <w:tc>
          <w:tcPr>
            <w:tcW w:w="6262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00" w:lineRule="auto"/>
              <w:ind w:left="0" w:leftChars="0" w:right="0"/>
              <w:jc w:val="left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在细菌细胞培养中没有引起基因损害。在哺乳类细胞培养中没有引起基因损害。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l2br w:val="nil"/>
              <w:tr2bl w:val="nil"/>
            </w:tcBorders>
          </w:tcPr>
          <w:p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rFonts w:hint="eastAsia" w:hAnsi="Arial"/>
                <w:b/>
                <w:sz w:val="24"/>
              </w:rPr>
            </w:pPr>
            <w:r>
              <w:rPr>
                <w:rFonts w:hint="eastAsia" w:hAnsi="Arial"/>
                <w:b/>
                <w:sz w:val="24"/>
                <w:lang w:val="en-US" w:eastAsia="zh-CN"/>
              </w:rPr>
              <w:t>致癌性：</w:t>
            </w:r>
          </w:p>
        </w:tc>
        <w:tc>
          <w:tcPr>
            <w:tcW w:w="6262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00" w:lineRule="auto"/>
              <w:ind w:right="0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在动物试验中未见致癌影响。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l2br w:val="nil"/>
              <w:tr2bl w:val="nil"/>
            </w:tcBorders>
          </w:tcPr>
          <w:p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rFonts w:hint="eastAsia" w:hAnsi="Arial"/>
                <w:b/>
                <w:sz w:val="24"/>
              </w:rPr>
            </w:pPr>
            <w:r>
              <w:rPr>
                <w:rFonts w:hint="eastAsia" w:hAnsi="Arial"/>
                <w:b/>
                <w:sz w:val="24"/>
                <w:lang w:val="en-US" w:eastAsia="zh-CN"/>
              </w:rPr>
              <w:t>生殖毒性：</w:t>
            </w:r>
          </w:p>
        </w:tc>
        <w:tc>
          <w:tcPr>
            <w:tcW w:w="6262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00" w:lineRule="auto"/>
              <w:ind w:right="0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根据动物试验，有一些对生长发育有影响的证据。动物试验表明仅在非常高剂量的情况下，此物质才有降低生育能力的风险</w:t>
            </w:r>
            <w:r>
              <w:rPr>
                <w:rFonts w:hint="eastAsia" w:ascii="宋体" w:hAnsi="宋体" w:eastAsia="宋体"/>
                <w:color w:val="000000"/>
                <w:sz w:val="22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l2br w:val="nil"/>
              <w:tr2bl w:val="nil"/>
            </w:tcBorders>
          </w:tcPr>
          <w:p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rFonts w:hint="eastAsia" w:hAnsi="Arial"/>
                <w:b/>
                <w:sz w:val="24"/>
                <w:lang w:val="en-US" w:eastAsia="zh-CN"/>
              </w:rPr>
            </w:pPr>
            <w:r>
              <w:rPr>
                <w:rFonts w:hint="eastAsia" w:hAnsi="Arial"/>
                <w:b/>
                <w:sz w:val="24"/>
                <w:lang w:val="en-US" w:eastAsia="zh-CN"/>
              </w:rPr>
              <w:t>特异性靶器官系统毒性（一次接触/反复接触）：</w:t>
            </w:r>
          </w:p>
        </w:tc>
        <w:tc>
          <w:tcPr>
            <w:tcW w:w="6262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00" w:lineRule="auto"/>
              <w:ind w:right="0"/>
              <w:jc w:val="left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无数据资料。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l2br w:val="nil"/>
              <w:tr2bl w:val="nil"/>
            </w:tcBorders>
          </w:tcPr>
          <w:p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rFonts w:hint="eastAsia" w:hAnsi="Arial"/>
                <w:b/>
                <w:sz w:val="24"/>
                <w:lang w:val="en-US" w:eastAsia="zh-CN"/>
              </w:rPr>
            </w:pPr>
            <w:r>
              <w:rPr>
                <w:rFonts w:hint="eastAsia" w:hAnsi="Arial"/>
                <w:b/>
                <w:sz w:val="24"/>
                <w:lang w:val="en-US" w:eastAsia="zh-CN"/>
              </w:rPr>
              <w:t>吸入危险：</w:t>
            </w:r>
          </w:p>
        </w:tc>
        <w:tc>
          <w:tcPr>
            <w:tcW w:w="6262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00" w:lineRule="auto"/>
              <w:ind w:right="0"/>
              <w:textAlignment w:val="auto"/>
              <w:rPr>
                <w:rFonts w:hint="eastAsia" w:hAnsi="Arial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无数据资料。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" w:hRule="atLeast"/>
        </w:trPr>
        <w:tc>
          <w:tcPr>
            <w:tcW w:w="3519" w:type="dxa"/>
            <w:tcBorders>
              <w:tl2br w:val="nil"/>
              <w:tr2bl w:val="nil"/>
            </w:tcBorders>
          </w:tcPr>
          <w:p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rFonts w:hint="eastAsia" w:hAnsi="Arial"/>
                <w:b/>
                <w:sz w:val="24"/>
                <w:lang w:val="en-US" w:eastAsia="zh-CN"/>
              </w:rPr>
            </w:pPr>
            <w:r>
              <w:rPr>
                <w:rFonts w:hint="eastAsia" w:hAnsi="Arial"/>
                <w:b/>
                <w:sz w:val="24"/>
                <w:lang w:val="en-US" w:eastAsia="zh-CN"/>
              </w:rPr>
              <w:t>附加信息：</w:t>
            </w:r>
          </w:p>
        </w:tc>
        <w:tc>
          <w:tcPr>
            <w:tcW w:w="6262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00" w:lineRule="auto"/>
              <w:ind w:right="0"/>
              <w:textAlignment w:val="auto"/>
              <w:rPr>
                <w:rFonts w:hint="eastAsia" w:hAnsi="Arial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吸入可能有害，可能引起呼吸道刺激。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00" w:lineRule="auto"/>
              <w:ind w:right="0"/>
              <w:textAlignment w:val="auto"/>
              <w:rPr>
                <w:rFonts w:hint="eastAsia" w:hAnsi="Arial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吞咽可能有害。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00" w:lineRule="auto"/>
              <w:ind w:right="0"/>
              <w:textAlignment w:val="auto"/>
              <w:rPr>
                <w:rFonts w:hint="eastAsia" w:hAnsi="Arial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通过皮肤吸收可能有害，可能引起皮肤刺激。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00" w:lineRule="auto"/>
              <w:ind w:right="0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引起眼睛灼伤。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12.</w:t>
            </w:r>
            <w:r>
              <w:rPr>
                <w:rFonts w:hint="eastAsia" w:hAnsi="Arial"/>
                <w:b/>
                <w:sz w:val="24"/>
              </w:rPr>
              <w:t>生态信息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nil"/>
            </w:tcBorders>
            <w:shd w:val="clear" w:color="auto" w:fill="auto"/>
          </w:tcPr>
          <w:p>
            <w:pPr>
              <w:spacing w:line="300" w:lineRule="auto"/>
              <w:ind w:right="480"/>
              <w:rPr>
                <w:b/>
                <w:sz w:val="24"/>
                <w:shd w:val="clear" w:color="auto" w:fill="auto"/>
              </w:rPr>
            </w:pPr>
            <w:r>
              <w:rPr>
                <w:rFonts w:hint="eastAsia" w:hAnsi="Arial"/>
                <w:sz w:val="24"/>
                <w:shd w:val="clear" w:color="auto" w:fill="auto"/>
              </w:rPr>
              <w:t>该产品无可用的生态毒理学研究。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nil"/>
              <w:bottom w:val="nil"/>
            </w:tcBorders>
            <w:shd w:val="clear" w:color="auto" w:fill="auto"/>
          </w:tcPr>
          <w:p>
            <w:pPr>
              <w:spacing w:line="300" w:lineRule="auto"/>
              <w:ind w:right="480"/>
              <w:rPr>
                <w:rFonts w:hint="eastAsia" w:hAnsi="Arial"/>
                <w:sz w:val="24"/>
                <w:shd w:val="clear" w:color="auto" w:fill="auto"/>
              </w:rPr>
            </w:pPr>
            <w:r>
              <w:rPr>
                <w:rFonts w:hint="eastAsia" w:hAnsi="Arial"/>
                <w:sz w:val="24"/>
                <w:shd w:val="clear" w:color="auto" w:fill="auto"/>
                <w:lang w:val="en-US" w:eastAsia="zh-CN"/>
              </w:rPr>
              <w:t>以下是</w:t>
            </w:r>
            <w:r>
              <w:rPr>
                <w:b w:val="0"/>
                <w:bCs w:val="0"/>
                <w:sz w:val="24"/>
              </w:rPr>
              <w:t>N-乙基吡咯烷酮</w:t>
            </w:r>
            <w:r>
              <w:rPr>
                <w:rFonts w:hint="eastAsia"/>
                <w:b w:val="0"/>
                <w:bCs/>
                <w:sz w:val="24"/>
                <w:shd w:val="clear" w:color="auto" w:fill="auto"/>
                <w:lang w:val="en-US" w:eastAsia="zh-CN"/>
              </w:rPr>
              <w:t>生态</w:t>
            </w:r>
            <w:r>
              <w:rPr>
                <w:rFonts w:hint="eastAsia" w:hAnsi="Arial"/>
                <w:b w:val="0"/>
                <w:bCs/>
                <w:sz w:val="24"/>
                <w:shd w:val="clear" w:color="auto" w:fill="auto"/>
              </w:rPr>
              <w:t>毒理学</w:t>
            </w:r>
            <w:r>
              <w:rPr>
                <w:rFonts w:hint="eastAsia" w:hAnsi="Arial"/>
                <w:b w:val="0"/>
                <w:bCs/>
                <w:sz w:val="24"/>
                <w:shd w:val="clear" w:color="auto" w:fill="auto"/>
                <w:lang w:val="en-US" w:eastAsia="zh-CN"/>
              </w:rPr>
              <w:t>数据</w:t>
            </w:r>
            <w:r>
              <w:rPr>
                <w:rFonts w:hint="eastAsia" w:hAnsi="Arial"/>
                <w:b w:val="0"/>
                <w:bCs/>
                <w:sz w:val="24"/>
                <w:shd w:val="clear" w:color="auto" w:fill="auto"/>
              </w:rPr>
              <w:t>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vMerge w:val="restart"/>
            <w:tcBorders>
              <w:top w:val="nil"/>
              <w:right w:val="nil"/>
            </w:tcBorders>
            <w:vAlign w:val="top"/>
          </w:tcPr>
          <w:p>
            <w:pPr>
              <w:numPr>
                <w:ilvl w:val="1"/>
                <w:numId w:val="10"/>
              </w:numPr>
              <w:tabs>
                <w:tab w:val="left" w:pos="601"/>
                <w:tab w:val="clear" w:pos="780"/>
              </w:tabs>
              <w:spacing w:line="300" w:lineRule="auto"/>
              <w:ind w:left="682" w:hanging="682" w:hangingChars="283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 w:hAnsi="Arial"/>
                <w:b/>
                <w:sz w:val="24"/>
              </w:rPr>
              <w:t>生态毒性：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top"/>
          </w:tcPr>
          <w:p>
            <w:pPr>
              <w:numPr>
                <w:ilvl w:val="0"/>
                <w:numId w:val="0"/>
              </w:numPr>
              <w:tabs>
                <w:tab w:val="left" w:pos="601"/>
              </w:tabs>
              <w:spacing w:line="300" w:lineRule="auto"/>
              <w:rPr>
                <w:rFonts w:hint="eastAsia"/>
                <w:b w:val="0"/>
                <w:bCs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4"/>
                <w:shd w:val="clear" w:color="auto" w:fill="auto"/>
                <w:lang w:val="en-US" w:eastAsia="zh-CN"/>
              </w:rPr>
              <w:t>对鱼类的毒性：</w:t>
            </w:r>
          </w:p>
          <w:p>
            <w:pPr>
              <w:numPr>
                <w:ilvl w:val="0"/>
                <w:numId w:val="0"/>
              </w:numPr>
              <w:tabs>
                <w:tab w:val="left" w:pos="601"/>
              </w:tabs>
              <w:spacing w:line="300" w:lineRule="auto"/>
              <w:rPr>
                <w:rFonts w:hint="default" w:hAnsi="Arial" w:eastAsia="宋体"/>
                <w:b/>
                <w:sz w:val="24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4"/>
                <w:shd w:val="clear" w:color="auto" w:fill="auto"/>
                <w:lang w:val="en-US" w:eastAsia="zh-CN"/>
              </w:rPr>
              <w:t>半数致死浓度（LC50）/96h/斑马鱼：＞464-999mg/l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vMerge w:val="continue"/>
            <w:tcBorders>
              <w:bottom w:val="nil"/>
              <w:right w:val="nil"/>
            </w:tcBorders>
            <w:vAlign w:val="top"/>
          </w:tcPr>
          <w:p>
            <w:pPr>
              <w:numPr>
                <w:ilvl w:val="0"/>
                <w:numId w:val="0"/>
              </w:numPr>
              <w:tabs>
                <w:tab w:val="left" w:pos="601"/>
              </w:tabs>
              <w:spacing w:line="300" w:lineRule="auto"/>
              <w:ind w:leftChars="-283"/>
              <w:rPr>
                <w:rFonts w:hint="eastAsia" w:hAnsi="Arial"/>
                <w:b/>
                <w:sz w:val="24"/>
              </w:rPr>
            </w:pP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top"/>
          </w:tcPr>
          <w:p>
            <w:pPr>
              <w:numPr>
                <w:ilvl w:val="0"/>
                <w:numId w:val="0"/>
              </w:numPr>
              <w:tabs>
                <w:tab w:val="left" w:pos="601"/>
              </w:tabs>
              <w:spacing w:line="300" w:lineRule="auto"/>
              <w:rPr>
                <w:rFonts w:hint="eastAsia"/>
                <w:b w:val="0"/>
                <w:bCs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4"/>
                <w:shd w:val="clear" w:color="auto" w:fill="auto"/>
                <w:lang w:val="en-US" w:eastAsia="zh-CN"/>
              </w:rPr>
              <w:t>其他：</w:t>
            </w:r>
          </w:p>
          <w:p>
            <w:pPr>
              <w:numPr>
                <w:ilvl w:val="0"/>
                <w:numId w:val="0"/>
              </w:numPr>
              <w:tabs>
                <w:tab w:val="left" w:pos="601"/>
              </w:tabs>
              <w:spacing w:line="300" w:lineRule="auto"/>
              <w:rPr>
                <w:rFonts w:hint="eastAsia"/>
                <w:b w:val="0"/>
                <w:bCs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4"/>
                <w:shd w:val="clear" w:color="auto" w:fill="auto"/>
                <w:lang w:val="en-US" w:eastAsia="zh-CN"/>
              </w:rPr>
              <w:t>半数致死有效浓度（EC50）/72h/藻类：＞101mg/l</w:t>
            </w:r>
          </w:p>
          <w:p>
            <w:pPr>
              <w:numPr>
                <w:ilvl w:val="0"/>
                <w:numId w:val="0"/>
              </w:numPr>
              <w:tabs>
                <w:tab w:val="left" w:pos="601"/>
              </w:tabs>
              <w:spacing w:line="300" w:lineRule="auto"/>
              <w:rPr>
                <w:rFonts w:hint="default"/>
                <w:b w:val="0"/>
                <w:bCs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4"/>
                <w:shd w:val="clear" w:color="auto" w:fill="auto"/>
                <w:lang w:val="en-US" w:eastAsia="zh-CN"/>
              </w:rPr>
              <w:t>半数致死有效浓度（EC50）/48h/大型溞：＞104mg/l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nil"/>
              <w:bottom w:val="nil"/>
            </w:tcBorders>
          </w:tcPr>
          <w:p>
            <w:pPr>
              <w:numPr>
                <w:ilvl w:val="1"/>
                <w:numId w:val="10"/>
              </w:numPr>
              <w:tabs>
                <w:tab w:val="left" w:pos="601"/>
                <w:tab w:val="clear" w:pos="780"/>
              </w:tabs>
              <w:spacing w:line="300" w:lineRule="auto"/>
              <w:ind w:left="682" w:hanging="682" w:hangingChars="283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持久性和降解性</w:t>
            </w:r>
            <w:r>
              <w:rPr>
                <w:rFonts w:hint="eastAsia" w:hAnsi="Arial"/>
                <w:sz w:val="24"/>
              </w:rPr>
              <w:t>：</w:t>
            </w:r>
          </w:p>
        </w:tc>
        <w:tc>
          <w:tcPr>
            <w:tcW w:w="6277" w:type="dxa"/>
            <w:tcBorders>
              <w:top w:val="nil"/>
              <w:bottom w:val="nil"/>
            </w:tcBorders>
          </w:tcPr>
          <w:p>
            <w:pPr>
              <w:spacing w:line="300" w:lineRule="auto"/>
              <w:ind w:left="1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生物降解性：90-100%，28 d，即快速生物降解。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nil"/>
              <w:bottom w:val="single" w:color="auto" w:sz="4" w:space="0"/>
            </w:tcBorders>
          </w:tcPr>
          <w:p>
            <w:pPr>
              <w:numPr>
                <w:ilvl w:val="1"/>
                <w:numId w:val="10"/>
              </w:numPr>
              <w:tabs>
                <w:tab w:val="left" w:pos="601"/>
                <w:tab w:val="clear" w:pos="780"/>
              </w:tabs>
              <w:spacing w:line="300" w:lineRule="auto"/>
              <w:ind w:left="682" w:hanging="682" w:hangingChars="283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其他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不利的影响</w:t>
            </w:r>
            <w:r>
              <w:rPr>
                <w:rFonts w:hint="eastAsia" w:hAnsi="Arial"/>
                <w:sz w:val="24"/>
              </w:rPr>
              <w:t>：</w:t>
            </w:r>
          </w:p>
        </w:tc>
        <w:tc>
          <w:tcPr>
            <w:tcW w:w="6277" w:type="dxa"/>
            <w:tcBorders>
              <w:top w:val="nil"/>
              <w:bottom w:val="single" w:color="auto" w:sz="4" w:space="0"/>
            </w:tcBorders>
          </w:tcPr>
          <w:p>
            <w:pPr>
              <w:spacing w:line="300" w:lineRule="auto"/>
              <w:ind w:left="1"/>
              <w:rPr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无数据资料。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13. </w:t>
            </w:r>
            <w:r>
              <w:rPr>
                <w:rFonts w:hint="eastAsia" w:hAnsi="Arial"/>
                <w:b/>
                <w:sz w:val="24"/>
              </w:rPr>
              <w:t>处理注意事项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9781" w:type="dxa"/>
            <w:gridSpan w:val="2"/>
            <w:tcBorders>
              <w:top w:val="single" w:color="auto" w:sz="4" w:space="0"/>
              <w:bottom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20" w:afterLines="20" w:line="240" w:lineRule="atLeast"/>
              <w:ind w:left="34"/>
              <w:textAlignment w:val="auto"/>
              <w:rPr>
                <w:rFonts w:hint="eastAsia" w:hAnsi="Arial"/>
                <w:sz w:val="24"/>
              </w:rPr>
            </w:pPr>
            <w:r>
              <w:rPr>
                <w:rFonts w:hint="eastAsia" w:hAnsi="Arial"/>
                <w:sz w:val="24"/>
              </w:rPr>
              <w:t>必需遵守适用的国标、国家或当地法规进行废弃。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20" w:afterLines="20" w:line="240" w:lineRule="atLeast"/>
              <w:ind w:left="34"/>
              <w:textAlignment w:val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在欧盟领域内废弃，应根据欧洲废弃物分类（</w:t>
            </w:r>
            <w:r>
              <w:rPr>
                <w:sz w:val="24"/>
              </w:rPr>
              <w:t>EWC</w:t>
            </w:r>
            <w:r>
              <w:rPr>
                <w:rFonts w:hint="eastAsia" w:hAnsi="Arial"/>
                <w:sz w:val="24"/>
              </w:rPr>
              <w:t>）的适当法规。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nil"/>
              <w:bottom w:val="single" w:color="auto" w:sz="4" w:space="0"/>
              <w:right w:val="nil"/>
            </w:tcBorders>
          </w:tcPr>
          <w:p>
            <w:pPr>
              <w:tabs>
                <w:tab w:val="left" w:pos="3275"/>
              </w:tabs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处理方法：</w:t>
            </w:r>
          </w:p>
        </w:tc>
        <w:tc>
          <w:tcPr>
            <w:tcW w:w="6277" w:type="dxa"/>
            <w:tcBorders>
              <w:top w:val="nil"/>
              <w:left w:val="nil"/>
              <w:bottom w:val="single" w:color="auto" w:sz="4" w:space="0"/>
            </w:tcBorders>
          </w:tcPr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尽可能将容器倒空（例如经倾倒，刮擦或排干直至</w:t>
            </w:r>
            <w:r>
              <w:rPr>
                <w:rFonts w:hint="eastAsia"/>
                <w:sz w:val="24"/>
              </w:rPr>
              <w:t>“</w:t>
            </w:r>
            <w:r>
              <w:rPr>
                <w:rFonts w:hint="eastAsia" w:hAnsi="Arial"/>
                <w:sz w:val="24"/>
              </w:rPr>
              <w:t>滴干</w:t>
            </w:r>
            <w:r>
              <w:rPr>
                <w:rFonts w:hint="eastAsia"/>
                <w:sz w:val="24"/>
              </w:rPr>
              <w:t>”</w:t>
            </w:r>
            <w:r>
              <w:rPr>
                <w:rFonts w:hint="eastAsia" w:hAnsi="Arial"/>
                <w:sz w:val="24"/>
              </w:rPr>
              <w:t>）</w:t>
            </w:r>
          </w:p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可根据化学工业现存的回收方案送往适当的收集点处理。</w:t>
            </w:r>
          </w:p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容器应按照国家法令和环境相关法规进行回收。</w:t>
            </w:r>
          </w:p>
          <w:p>
            <w:pPr>
              <w:spacing w:line="300" w:lineRule="auto"/>
              <w:rPr>
                <w:rFonts w:hint="eastAsia" w:hAnsi="Arial"/>
                <w:sz w:val="24"/>
              </w:rPr>
            </w:pPr>
            <w:r>
              <w:rPr>
                <w:rFonts w:hint="eastAsia" w:hAnsi="Arial"/>
                <w:sz w:val="24"/>
              </w:rPr>
              <w:t>不能将废弃物通过废水排放。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14. </w:t>
            </w:r>
            <w:r>
              <w:rPr>
                <w:rFonts w:hint="eastAsia" w:hAnsi="Arial"/>
                <w:b/>
                <w:sz w:val="24"/>
              </w:rPr>
              <w:t>运输信息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single" w:color="auto" w:sz="4" w:space="0"/>
            </w:tcBorders>
          </w:tcPr>
          <w:p>
            <w:pPr>
              <w:numPr>
                <w:ilvl w:val="1"/>
                <w:numId w:val="11"/>
              </w:numPr>
              <w:tabs>
                <w:tab w:val="left" w:pos="601"/>
                <w:tab w:val="clear" w:pos="780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公路和铁路运输：</w:t>
            </w:r>
          </w:p>
        </w:tc>
        <w:tc>
          <w:tcPr>
            <w:tcW w:w="6277" w:type="dxa"/>
            <w:tcBorders>
              <w:top w:val="single" w:color="auto" w:sz="4" w:space="0"/>
            </w:tcBorders>
          </w:tcPr>
          <w:p>
            <w:pPr>
              <w:spacing w:line="300" w:lineRule="auto"/>
              <w:ind w:left="34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非危险品陆运输方式。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</w:tcPr>
          <w:p>
            <w:pPr>
              <w:numPr>
                <w:ilvl w:val="1"/>
                <w:numId w:val="11"/>
              </w:numPr>
              <w:tabs>
                <w:tab w:val="left" w:pos="601"/>
                <w:tab w:val="clear" w:pos="780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海上运输：</w:t>
            </w:r>
          </w:p>
        </w:tc>
        <w:tc>
          <w:tcPr>
            <w:tcW w:w="6277" w:type="dxa"/>
          </w:tcPr>
          <w:p>
            <w:pPr>
              <w:spacing w:line="300" w:lineRule="auto"/>
              <w:ind w:left="34" w:right="480"/>
              <w:rPr>
                <w:b/>
                <w:sz w:val="24"/>
              </w:rPr>
            </w:pPr>
            <w:r>
              <w:rPr>
                <w:rFonts w:hint="eastAsia" w:hAnsi="Arial"/>
                <w:sz w:val="24"/>
              </w:rPr>
              <w:t>非危险品海运方式。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04" w:type="dxa"/>
          </w:tcPr>
          <w:p>
            <w:pPr>
              <w:numPr>
                <w:ilvl w:val="1"/>
                <w:numId w:val="11"/>
              </w:numPr>
              <w:tabs>
                <w:tab w:val="left" w:pos="601"/>
                <w:tab w:val="clear" w:pos="780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空运：</w:t>
            </w:r>
          </w:p>
        </w:tc>
        <w:tc>
          <w:tcPr>
            <w:tcW w:w="6277" w:type="dxa"/>
          </w:tcPr>
          <w:p>
            <w:pPr>
              <w:spacing w:line="300" w:lineRule="auto"/>
              <w:ind w:left="34" w:right="480"/>
              <w:rPr>
                <w:b/>
                <w:sz w:val="24"/>
              </w:rPr>
            </w:pPr>
            <w:r>
              <w:rPr>
                <w:rFonts w:hint="eastAsia" w:hAnsi="Arial"/>
                <w:sz w:val="24"/>
              </w:rPr>
              <w:t>非危险品运输方式。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3504" w:type="dxa"/>
            <w:tcBorders>
              <w:bottom w:val="single" w:color="auto" w:sz="4" w:space="0"/>
            </w:tcBorders>
          </w:tcPr>
          <w:p>
            <w:pPr>
              <w:numPr>
                <w:ilvl w:val="1"/>
                <w:numId w:val="11"/>
              </w:numPr>
              <w:tabs>
                <w:tab w:val="left" w:pos="601"/>
                <w:tab w:val="clear" w:pos="780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用户特殊注意事项：</w:t>
            </w:r>
          </w:p>
        </w:tc>
        <w:tc>
          <w:tcPr>
            <w:tcW w:w="6277" w:type="dxa"/>
            <w:tcBorders>
              <w:bottom w:val="single" w:color="auto" w:sz="4" w:space="0"/>
            </w:tcBorders>
          </w:tcPr>
          <w:p>
            <w:pPr>
              <w:spacing w:line="300" w:lineRule="auto"/>
              <w:ind w:left="34" w:right="480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非危险货物。</w:t>
            </w:r>
          </w:p>
          <w:p>
            <w:pPr>
              <w:spacing w:line="300" w:lineRule="auto"/>
              <w:ind w:left="34" w:right="480"/>
              <w:rPr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避免</w:t>
            </w:r>
            <w:r>
              <w:rPr>
                <w:rFonts w:hint="eastAsia" w:hAnsi="Arial"/>
                <w:sz w:val="24"/>
              </w:rPr>
              <w:t>温度高于</w:t>
            </w:r>
            <w:r>
              <w:rPr>
                <w:sz w:val="24"/>
              </w:rPr>
              <w:t>+</w:t>
            </w:r>
            <w:r>
              <w:rPr>
                <w:rFonts w:hint="eastAsia"/>
                <w:sz w:val="24"/>
                <w:lang w:val="en-US" w:eastAsia="zh-CN"/>
              </w:rPr>
              <w:t>35</w:t>
            </w:r>
            <w:r>
              <w:rPr>
                <w:rFonts w:hint="eastAsia"/>
                <w:sz w:val="24"/>
              </w:rPr>
              <w:t>℃，温度不可低于</w:t>
            </w:r>
            <w:r>
              <w:rPr>
                <w:rFonts w:hint="eastAsia"/>
                <w:sz w:val="24"/>
                <w:lang w:val="en-US" w:eastAsia="zh-CN"/>
              </w:rPr>
              <w:t>+</w:t>
            </w:r>
            <w:r>
              <w:rPr>
                <w:sz w:val="24"/>
              </w:rPr>
              <w:t>5</w:t>
            </w:r>
            <w:r>
              <w:rPr>
                <w:rFonts w:hint="eastAsia"/>
                <w:sz w:val="24"/>
              </w:rPr>
              <w:t>℃。</w:t>
            </w:r>
          </w:p>
          <w:p>
            <w:pPr>
              <w:spacing w:line="300" w:lineRule="auto"/>
              <w:ind w:left="34" w:right="480"/>
              <w:rPr>
                <w:b/>
                <w:sz w:val="24"/>
              </w:rPr>
            </w:pPr>
            <w:r>
              <w:rPr>
                <w:rFonts w:hint="eastAsia"/>
                <w:sz w:val="24"/>
              </w:rPr>
              <w:t>远离食物、酸和碱。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tcBorders>
              <w:tl2br w:val="nil"/>
              <w:tr2bl w:val="nil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15. </w:t>
            </w:r>
            <w:r>
              <w:rPr>
                <w:rFonts w:hint="eastAsia"/>
                <w:b/>
                <w:sz w:val="24"/>
              </w:rPr>
              <w:t>法规信息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9781" w:type="dxa"/>
            <w:tcBorders>
              <w:tl2br w:val="nil"/>
              <w:tr2bl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/>
                <w:bCs/>
                <w:kern w:val="0"/>
                <w:sz w:val="24"/>
              </w:rPr>
              <w:t>物质或混合物的相关安全、健康和环保法律法规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9781" w:type="dxa"/>
            <w:tcBorders>
              <w:tl2br w:val="nil"/>
              <w:tr2bl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>其它的规定：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9781" w:type="dxa"/>
            <w:tcBorders>
              <w:tl2br w:val="nil"/>
              <w:tr2bl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>符合下列法规要求：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l2br w:val="nil"/>
              <w:tr2bl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/>
                <w:bCs/>
                <w:kern w:val="0"/>
                <w:sz w:val="24"/>
              </w:rPr>
              <w:t>危险化学品安全管理条例，国务院令</w:t>
            </w:r>
            <w:r>
              <w:rPr>
                <w:rFonts w:hint="eastAsia" w:cs="Arial"/>
                <w:bCs/>
                <w:kern w:val="0"/>
                <w:sz w:val="24"/>
                <w:lang w:val="en-US" w:eastAsia="zh-CN"/>
              </w:rPr>
              <w:t>591</w:t>
            </w:r>
            <w:r>
              <w:rPr>
                <w:rFonts w:hint="eastAsia" w:cs="Arial"/>
                <w:bCs/>
                <w:kern w:val="0"/>
                <w:sz w:val="24"/>
              </w:rPr>
              <w:t>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l2br w:val="nil"/>
              <w:tr2bl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cs="Arial"/>
                <w:bCs/>
                <w:kern w:val="0"/>
                <w:sz w:val="24"/>
              </w:rPr>
              <w:t xml:space="preserve">GB/T 16483 </w:t>
            </w:r>
            <w:r>
              <w:rPr>
                <w:rFonts w:hint="eastAsia" w:cs="Arial"/>
                <w:bCs/>
                <w:kern w:val="0"/>
                <w:sz w:val="24"/>
              </w:rPr>
              <w:t>化学品安全技术说明书内容和项目顺序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l2br w:val="nil"/>
              <w:tr2bl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cs="Arial"/>
                <w:bCs/>
                <w:kern w:val="0"/>
                <w:sz w:val="24"/>
              </w:rPr>
              <w:t xml:space="preserve">GB 13690 </w:t>
            </w:r>
            <w:r>
              <w:rPr>
                <w:rFonts w:hint="eastAsia" w:cs="Arial"/>
                <w:bCs/>
                <w:kern w:val="0"/>
                <w:sz w:val="24"/>
              </w:rPr>
              <w:t>化学品分类和危险性公示通则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l2br w:val="nil"/>
              <w:tr2bl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hint="default" w:eastAsia="宋体" w:cs="Arial"/>
                <w:bCs/>
                <w:kern w:val="0"/>
                <w:sz w:val="24"/>
                <w:lang w:val="en-US" w:eastAsia="zh-CN"/>
              </w:rPr>
            </w:pPr>
            <w:r>
              <w:rPr>
                <w:rFonts w:cs="Arial"/>
                <w:bCs/>
                <w:kern w:val="0"/>
                <w:sz w:val="24"/>
              </w:rPr>
              <w:t xml:space="preserve">GB </w:t>
            </w:r>
            <w:r>
              <w:rPr>
                <w:rFonts w:hint="eastAsia" w:cs="Arial"/>
                <w:bCs/>
                <w:kern w:val="0"/>
                <w:sz w:val="24"/>
                <w:lang w:val="en-US" w:eastAsia="zh-CN"/>
              </w:rPr>
              <w:t>30000.2-29 化学品分类和标签规范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l2br w:val="nil"/>
              <w:tr2bl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hint="default" w:eastAsia="宋体" w:cs="Arial"/>
                <w:bCs/>
                <w:kern w:val="0"/>
                <w:sz w:val="24"/>
                <w:lang w:val="en-US" w:eastAsia="zh-CN"/>
              </w:rPr>
            </w:pPr>
            <w:r>
              <w:rPr>
                <w:rFonts w:hint="eastAsia" w:cs="Arial"/>
                <w:bCs/>
                <w:kern w:val="0"/>
                <w:sz w:val="24"/>
                <w:lang w:val="en-US" w:eastAsia="zh-CN"/>
              </w:rPr>
              <w:t>GB 15258 化学品安全标签编写规定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16. </w:t>
            </w:r>
            <w:r>
              <w:rPr>
                <w:rFonts w:hint="eastAsia"/>
                <w:b/>
                <w:sz w:val="24"/>
              </w:rPr>
              <w:t>其他信息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tcBorders>
              <w:top w:val="nil"/>
              <w:bottom w:val="single" w:color="auto" w:sz="4" w:space="0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/>
                <w:bCs/>
                <w:kern w:val="0"/>
                <w:sz w:val="24"/>
              </w:rPr>
              <w:t>就我们所掌握的知识信息，截止本安全技术说明书发布之日，它提供的资料是正确的。所提供的信息仅仅作为安全处理，使用，生产，储存，运输，处置和排放的指导书，而不是一份担保或品质说明书。本资料只针对所指定的具体物料，而对这种物料与其它物料混合使用或在其它制程中使用的情况，则未必有效（除非在文本中有特别说明）。</w:t>
            </w:r>
          </w:p>
        </w:tc>
      </w:tr>
    </w:tbl>
    <w:p/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2503" w:right="1077" w:bottom="1418" w:left="1077" w:header="851" w:footer="737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5"/>
      <w:tblW w:w="9968" w:type="dxa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4984"/>
      <w:gridCol w:w="4984"/>
    </w:tblGrid>
    <w:tr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566" w:hRule="atLeast"/>
      </w:trPr>
      <w:tc>
        <w:tcPr>
          <w:tcW w:w="4984" w:type="dxa"/>
          <w:vAlign w:val="center"/>
        </w:tcPr>
        <w:p>
          <w:pPr>
            <w:pStyle w:val="2"/>
            <w:jc w:val="both"/>
            <w:rPr>
              <w:kern w:val="0"/>
              <w:sz w:val="21"/>
              <w:szCs w:val="21"/>
            </w:rPr>
          </w:pPr>
          <w:r>
            <w:rPr>
              <w:rFonts w:hint="eastAsia"/>
              <w:kern w:val="0"/>
              <w:sz w:val="21"/>
              <w:szCs w:val="21"/>
            </w:rPr>
            <w:t>广州冠志新材料科技有限公司  PU-</w:t>
          </w:r>
          <w:r>
            <w:rPr>
              <w:rFonts w:hint="eastAsia"/>
              <w:kern w:val="0"/>
              <w:sz w:val="21"/>
              <w:szCs w:val="21"/>
              <w:lang w:eastAsia="zh-CN"/>
            </w:rPr>
            <w:t>2303</w:t>
          </w:r>
          <w:r>
            <w:rPr>
              <w:rFonts w:hint="eastAsia"/>
              <w:kern w:val="0"/>
              <w:sz w:val="21"/>
              <w:szCs w:val="21"/>
            </w:rPr>
            <w:t>-MSDS</w:t>
          </w:r>
        </w:p>
      </w:tc>
      <w:tc>
        <w:tcPr>
          <w:tcW w:w="4984" w:type="dxa"/>
        </w:tcPr>
        <w:p>
          <w:pPr>
            <w:ind w:firstLine="8730" w:firstLineChars="4850"/>
            <w:jc w:val="right"/>
            <w:rPr>
              <w:kern w:val="0"/>
              <w:sz w:val="20"/>
            </w:rPr>
          </w:pPr>
          <w:r>
            <w:rPr>
              <w:rFonts w:ascii="Arial" w:eastAsia="楷体_GB2312"/>
              <w:color w:val="7F7F7F"/>
              <w:kern w:val="0"/>
              <w:sz w:val="18"/>
              <w:szCs w:val="18"/>
            </w:rPr>
            <w:t>P</w:t>
          </w:r>
          <w:r>
            <w:rPr>
              <w:rFonts w:hint="eastAsia"/>
              <w:kern w:val="0"/>
              <w:sz w:val="20"/>
              <w:szCs w:val="21"/>
            </w:rPr>
            <w:t>修订日期：</w:t>
          </w:r>
          <w:r>
            <w:rPr>
              <w:rFonts w:hint="eastAsia"/>
              <w:kern w:val="0"/>
              <w:sz w:val="20"/>
              <w:szCs w:val="21"/>
              <w:lang w:eastAsia="zh-CN"/>
            </w:rPr>
            <w:t>2023/9/27</w:t>
          </w:r>
          <w:r>
            <w:rPr>
              <w:rFonts w:ascii="Arial" w:eastAsia="楷体_GB2312"/>
              <w:color w:val="7F7F7F"/>
              <w:kern w:val="0"/>
              <w:sz w:val="18"/>
              <w:szCs w:val="18"/>
            </w:rPr>
            <w:t>  </w:t>
          </w:r>
        </w:p>
      </w:tc>
    </w:tr>
    <w:tr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984" w:type="dxa"/>
        </w:tcPr>
        <w:p>
          <w:pPr>
            <w:pStyle w:val="2"/>
            <w:rPr>
              <w:kern w:val="0"/>
              <w:sz w:val="21"/>
              <w:szCs w:val="21"/>
            </w:rPr>
          </w:pPr>
        </w:p>
      </w:tc>
      <w:tc>
        <w:tcPr>
          <w:tcW w:w="4984" w:type="dxa"/>
        </w:tcPr>
        <w:p>
          <w:pPr>
            <w:pStyle w:val="2"/>
            <w:jc w:val="right"/>
            <w:rPr>
              <w:kern w:val="0"/>
              <w:sz w:val="24"/>
              <w:szCs w:val="24"/>
            </w:rPr>
          </w:pPr>
          <w:r>
            <w:rPr>
              <w:rFonts w:ascii="Arial" w:eastAsia="楷体_GB2312"/>
              <w:kern w:val="0"/>
            </w:rPr>
            <w:fldChar w:fldCharType="begin"/>
          </w:r>
          <w:r>
            <w:rPr>
              <w:rFonts w:ascii="Arial" w:eastAsia="楷体_GB2312"/>
              <w:kern w:val="0"/>
            </w:rPr>
            <w:instrText xml:space="preserve"> PAGE </w:instrText>
          </w:r>
          <w:r>
            <w:rPr>
              <w:rFonts w:ascii="Arial" w:eastAsia="楷体_GB2312"/>
              <w:kern w:val="0"/>
            </w:rPr>
            <w:fldChar w:fldCharType="separate"/>
          </w:r>
          <w:r>
            <w:rPr>
              <w:rFonts w:ascii="Arial" w:eastAsia="楷体_GB2312"/>
              <w:kern w:val="0"/>
            </w:rPr>
            <w:t>3</w:t>
          </w:r>
          <w:r>
            <w:rPr>
              <w:rFonts w:ascii="Arial" w:eastAsia="楷体_GB2312"/>
              <w:kern w:val="0"/>
            </w:rPr>
            <w:fldChar w:fldCharType="end"/>
          </w:r>
          <w:r>
            <w:rPr>
              <w:rFonts w:ascii="Arial" w:eastAsia="楷体_GB2312"/>
              <w:kern w:val="0"/>
            </w:rPr>
            <w:t xml:space="preserve"> / </w:t>
          </w:r>
          <w:r>
            <w:rPr>
              <w:rFonts w:ascii="Arial" w:eastAsia="楷体_GB2312"/>
              <w:kern w:val="0"/>
            </w:rPr>
            <w:fldChar w:fldCharType="begin"/>
          </w:r>
          <w:r>
            <w:rPr>
              <w:rFonts w:ascii="Arial" w:eastAsia="楷体_GB2312"/>
              <w:kern w:val="0"/>
            </w:rPr>
            <w:instrText xml:space="preserve"> NUMPAGES  </w:instrText>
          </w:r>
          <w:r>
            <w:rPr>
              <w:rFonts w:ascii="Arial" w:eastAsia="楷体_GB2312"/>
              <w:kern w:val="0"/>
            </w:rPr>
            <w:fldChar w:fldCharType="separate"/>
          </w:r>
          <w:r>
            <w:rPr>
              <w:rFonts w:ascii="Arial" w:eastAsia="楷体_GB2312"/>
              <w:kern w:val="0"/>
            </w:rPr>
            <w:t>5</w:t>
          </w:r>
          <w:r>
            <w:rPr>
              <w:rFonts w:ascii="Arial" w:eastAsia="楷体_GB2312"/>
              <w:kern w:val="0"/>
            </w:rPr>
            <w:fldChar w:fldCharType="end"/>
          </w:r>
        </w:p>
      </w:tc>
    </w:tr>
  </w:tbl>
  <w:p>
    <w:pPr>
      <w:pStyle w:val="2"/>
      <w:rPr>
        <w:sz w:val="24"/>
        <w:szCs w:val="24"/>
      </w:rPr>
    </w:pPr>
    <w:r>
      <w:rPr>
        <w:rFonts w:hint="eastAsia"/>
        <w:sz w:val="24"/>
        <w:szCs w:val="24"/>
      </w:rPr>
      <w:t xml:space="preserve">                                             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left" w:pos="360"/>
      </w:tabs>
      <w:ind w:left="202" w:hanging="202" w:hangingChars="56"/>
      <w:jc w:val="center"/>
      <w:rPr>
        <w:rFonts w:cs="Arial" w:asciiTheme="majorEastAsia" w:hAnsiTheme="majorEastAsia" w:eastAsiaTheme="majorEastAsia"/>
        <w:b/>
        <w:sz w:val="44"/>
        <w:szCs w:val="44"/>
      </w:rPr>
    </w:pPr>
    <w:r>
      <w:rPr>
        <w:rFonts w:ascii="Arial" w:hAnsi="Arial" w:eastAsia="楷体_GB2312" w:cs="Arial"/>
        <w:b/>
        <w:sz w:val="36"/>
        <w:szCs w:val="36"/>
      </w:rPr>
      <w:t xml:space="preserve"> </w:t>
    </w:r>
    <w:r>
      <w:rPr>
        <w:rFonts w:hint="eastAsia" w:cs="Arial" w:asciiTheme="majorEastAsia" w:hAnsiTheme="majorEastAsia" w:eastAsiaTheme="majorEastAsia"/>
        <w:b/>
        <w:sz w:val="44"/>
        <w:szCs w:val="44"/>
      </w:rPr>
      <w:t>物料安全数据表</w:t>
    </w:r>
  </w:p>
  <w:p>
    <w:pPr>
      <w:wordWrap w:val="0"/>
      <w:jc w:val="right"/>
      <w:rPr>
        <w:rFonts w:ascii="Arial" w:hAnsi="Arial" w:eastAsia="楷体_GB2312"/>
        <w:sz w:val="18"/>
        <w:szCs w:val="18"/>
      </w:rPr>
    </w:pPr>
    <w:r>
      <w:rPr>
        <w:rFonts w:ascii="Arial" w:eastAsia="楷体_GB2312"/>
        <w:sz w:val="18"/>
        <w:szCs w:val="18"/>
      </w:rPr>
      <w:t>Version</w:t>
    </w:r>
    <w:r>
      <w:rPr>
        <w:rFonts w:hint="eastAsia" w:ascii="Arial" w:eastAsia="楷体_GB2312"/>
        <w:sz w:val="18"/>
        <w:szCs w:val="18"/>
      </w:rPr>
      <w:t>：</w:t>
    </w:r>
    <w:r>
      <w:rPr>
        <w:rFonts w:ascii="Arial" w:hAnsi="Arial" w:eastAsia="楷体_GB2312"/>
        <w:sz w:val="18"/>
        <w:szCs w:val="18"/>
      </w:rPr>
      <w:t>1.0</w:t>
    </w:r>
  </w:p>
  <w:tbl>
    <w:tblPr>
      <w:tblStyle w:val="4"/>
      <w:tblW w:w="9781" w:type="dxa"/>
      <w:tblInd w:w="108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9781"/>
    </w:tblGrid>
    <w:tr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9781" w:type="dxa"/>
          <w:shd w:val="clear" w:color="auto" w:fill="D9D9D9"/>
        </w:tcPr>
        <w:p>
          <w:pPr>
            <w:jc w:val="center"/>
            <w:rPr>
              <w:rFonts w:hint="default" w:eastAsia="楷体_GB2312"/>
              <w:b/>
              <w:sz w:val="36"/>
              <w:szCs w:val="36"/>
              <w:lang w:val="en-US" w:eastAsia="zh-CN"/>
            </w:rPr>
          </w:pPr>
          <w:r>
            <w:rPr>
              <w:rFonts w:eastAsia="楷体_GB2312"/>
              <w:b/>
              <w:sz w:val="36"/>
              <w:szCs w:val="36"/>
            </w:rPr>
            <w:t>PU-</w:t>
          </w:r>
          <w:r>
            <w:rPr>
              <w:rFonts w:hint="eastAsia" w:eastAsia="楷体_GB2312"/>
              <w:b/>
              <w:sz w:val="36"/>
              <w:szCs w:val="36"/>
              <w:lang w:val="en-US" w:eastAsia="zh-CN"/>
            </w:rPr>
            <w:t>2303</w:t>
          </w:r>
        </w:p>
      </w:tc>
    </w:tr>
  </w:tbl>
  <w:p>
    <w:pPr>
      <w:jc w:val="left"/>
      <w:rPr>
        <w:rFonts w:ascii="Arial" w:hAnsi="Arial" w:eastAsia="楷体_GB2312"/>
        <w:color w:val="7F7F7F"/>
        <w:sz w:val="24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10568C"/>
    <w:multiLevelType w:val="multilevel"/>
    <w:tmpl w:val="0D10568C"/>
    <w:lvl w:ilvl="0" w:tentative="0">
      <w:start w:val="14"/>
      <w:numFmt w:val="decimal"/>
      <w:lvlText w:val="%1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2" w:tentative="0">
      <w:start w:val="1"/>
      <w:numFmt w:val="decimal"/>
      <w:lvlText w:val="%1.%2.%3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1">
    <w:nsid w:val="20575178"/>
    <w:multiLevelType w:val="multilevel"/>
    <w:tmpl w:val="20575178"/>
    <w:lvl w:ilvl="0" w:tentative="0">
      <w:start w:val="1"/>
      <w:numFmt w:val="decimal"/>
      <w:lvlText w:val="9.%1"/>
      <w:lvlJc w:val="left"/>
      <w:pPr>
        <w:tabs>
          <w:tab w:val="left" w:pos="0"/>
        </w:tabs>
        <w:ind w:left="420" w:hanging="420"/>
      </w:pPr>
      <w:rPr>
        <w:rFonts w:hint="eastAsia" w:cs="Times New Roman"/>
        <w:b/>
        <w:sz w:val="21"/>
        <w:szCs w:val="21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abstractNum w:abstractNumId="2">
    <w:nsid w:val="357A479D"/>
    <w:multiLevelType w:val="multilevel"/>
    <w:tmpl w:val="357A479D"/>
    <w:lvl w:ilvl="0" w:tentative="0">
      <w:start w:val="1"/>
      <w:numFmt w:val="decimal"/>
      <w:lvlText w:val="5.%1."/>
      <w:lvlJc w:val="left"/>
      <w:pPr>
        <w:tabs>
          <w:tab w:val="left" w:pos="0"/>
        </w:tabs>
        <w:ind w:left="420" w:hanging="420"/>
      </w:pPr>
      <w:rPr>
        <w:rFonts w:hint="eastAsia" w:cs="Times New Roman"/>
        <w:b/>
        <w:sz w:val="21"/>
        <w:szCs w:val="21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abstractNum w:abstractNumId="3">
    <w:nsid w:val="3A5C1E05"/>
    <w:multiLevelType w:val="multilevel"/>
    <w:tmpl w:val="3A5C1E05"/>
    <w:lvl w:ilvl="0" w:tentative="0">
      <w:start w:val="12"/>
      <w:numFmt w:val="decimal"/>
      <w:lvlText w:val="%1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2" w:tentative="0">
      <w:start w:val="1"/>
      <w:numFmt w:val="decimal"/>
      <w:lvlText w:val="%1.%2.%3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4">
    <w:nsid w:val="429A432A"/>
    <w:multiLevelType w:val="multilevel"/>
    <w:tmpl w:val="429A432A"/>
    <w:lvl w:ilvl="0" w:tentative="0">
      <w:start w:val="11"/>
      <w:numFmt w:val="decimal"/>
      <w:lvlText w:val="%1"/>
      <w:lvlJc w:val="left"/>
      <w:pPr>
        <w:tabs>
          <w:tab w:val="left" w:pos="645"/>
        </w:tabs>
        <w:ind w:left="645" w:hanging="645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645"/>
        </w:tabs>
        <w:ind w:left="645" w:hanging="645"/>
      </w:pPr>
      <w:rPr>
        <w:rFonts w:hint="default" w:cs="Times New Roman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5">
    <w:nsid w:val="50075728"/>
    <w:multiLevelType w:val="multilevel"/>
    <w:tmpl w:val="50075728"/>
    <w:lvl w:ilvl="0" w:tentative="0">
      <w:start w:val="1"/>
      <w:numFmt w:val="decimal"/>
      <w:lvlText w:val="10.%1"/>
      <w:lvlJc w:val="left"/>
      <w:pPr>
        <w:ind w:left="840" w:hanging="420"/>
      </w:pPr>
      <w:rPr>
        <w:rFonts w:hint="eastAsia" w:cs="Times New Roman"/>
        <w:b/>
        <w:sz w:val="21"/>
        <w:szCs w:val="21"/>
      </w:rPr>
    </w:lvl>
    <w:lvl w:ilvl="1" w:tentative="0">
      <w:start w:val="1"/>
      <w:numFmt w:val="lowerLetter"/>
      <w:lvlText w:val="%2)"/>
      <w:lvlJc w:val="left"/>
      <w:pPr>
        <w:ind w:left="126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ind w:left="168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ind w:left="210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ind w:left="252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ind w:left="294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ind w:left="336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ind w:left="378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ind w:left="4200" w:hanging="420"/>
      </w:pPr>
      <w:rPr>
        <w:rFonts w:cs="Times New Roman"/>
      </w:rPr>
    </w:lvl>
  </w:abstractNum>
  <w:abstractNum w:abstractNumId="6">
    <w:nsid w:val="5F5B032F"/>
    <w:multiLevelType w:val="multilevel"/>
    <w:tmpl w:val="5F5B032F"/>
    <w:lvl w:ilvl="0" w:tentative="0">
      <w:start w:val="1"/>
      <w:numFmt w:val="decimal"/>
      <w:lvlText w:val="%1"/>
      <w:lvlJc w:val="left"/>
      <w:pPr>
        <w:tabs>
          <w:tab w:val="left" w:pos="660"/>
        </w:tabs>
        <w:ind w:left="660" w:hanging="66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660"/>
        </w:tabs>
        <w:ind w:left="660" w:hanging="66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7">
    <w:nsid w:val="5FF5793B"/>
    <w:multiLevelType w:val="multilevel"/>
    <w:tmpl w:val="5FF5793B"/>
    <w:lvl w:ilvl="0" w:tentative="0">
      <w:start w:val="1"/>
      <w:numFmt w:val="decimal"/>
      <w:lvlText w:val="4.%1."/>
      <w:lvlJc w:val="left"/>
      <w:pPr>
        <w:ind w:left="420" w:hanging="420"/>
      </w:pPr>
      <w:rPr>
        <w:rFonts w:hint="eastAsia" w:cs="Times New Roman"/>
        <w:b/>
        <w:sz w:val="21"/>
        <w:szCs w:val="21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abstractNum w:abstractNumId="8">
    <w:nsid w:val="6D6B60C3"/>
    <w:multiLevelType w:val="multilevel"/>
    <w:tmpl w:val="6D6B60C3"/>
    <w:lvl w:ilvl="0" w:tentative="0">
      <w:start w:val="1"/>
      <w:numFmt w:val="decimal"/>
      <w:lvlText w:val="6.%1."/>
      <w:lvlJc w:val="left"/>
      <w:pPr>
        <w:tabs>
          <w:tab w:val="left" w:pos="0"/>
        </w:tabs>
        <w:ind w:left="420" w:hanging="420"/>
      </w:pPr>
      <w:rPr>
        <w:rFonts w:hint="eastAsia" w:cs="Times New Roman"/>
        <w:b/>
        <w:sz w:val="21"/>
        <w:szCs w:val="21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abstractNum w:abstractNumId="9">
    <w:nsid w:val="6E267157"/>
    <w:multiLevelType w:val="multilevel"/>
    <w:tmpl w:val="6E267157"/>
    <w:lvl w:ilvl="0" w:tentative="0">
      <w:start w:val="7"/>
      <w:numFmt w:val="decimal"/>
      <w:lvlText w:val="%1"/>
      <w:lvlJc w:val="left"/>
      <w:pPr>
        <w:tabs>
          <w:tab w:val="left" w:pos="540"/>
        </w:tabs>
        <w:ind w:left="540" w:hanging="54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540"/>
        </w:tabs>
        <w:ind w:left="540" w:hanging="54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10">
    <w:nsid w:val="793A78E0"/>
    <w:multiLevelType w:val="multilevel"/>
    <w:tmpl w:val="793A78E0"/>
    <w:lvl w:ilvl="0" w:tentative="0">
      <w:start w:val="3"/>
      <w:numFmt w:val="decimal"/>
      <w:lvlText w:val="%1"/>
      <w:lvlJc w:val="left"/>
      <w:pPr>
        <w:tabs>
          <w:tab w:val="left" w:pos="540"/>
        </w:tabs>
        <w:ind w:left="540" w:hanging="54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540"/>
        </w:tabs>
        <w:ind w:left="540" w:hanging="54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num w:numId="1">
    <w:abstractNumId w:val="6"/>
  </w:num>
  <w:num w:numId="2">
    <w:abstractNumId w:val="10"/>
  </w:num>
  <w:num w:numId="3">
    <w:abstractNumId w:val="7"/>
  </w:num>
  <w:num w:numId="4">
    <w:abstractNumId w:val="2"/>
  </w:num>
  <w:num w:numId="5">
    <w:abstractNumId w:val="8"/>
  </w:num>
  <w:num w:numId="6">
    <w:abstractNumId w:val="9"/>
  </w:num>
  <w:num w:numId="7">
    <w:abstractNumId w:val="1"/>
  </w:num>
  <w:num w:numId="8">
    <w:abstractNumId w:val="5"/>
  </w:num>
  <w:num w:numId="9">
    <w:abstractNumId w:val="4"/>
  </w:num>
  <w:num w:numId="10">
    <w:abstractNumId w:val="3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kyZDE2MzdmZjRiMjBhMjYzZmE3MGFmMTY4N2ZhOTAifQ=="/>
  </w:docVars>
  <w:rsids>
    <w:rsidRoot w:val="00172A27"/>
    <w:rsid w:val="00054D63"/>
    <w:rsid w:val="000A232D"/>
    <w:rsid w:val="000F335C"/>
    <w:rsid w:val="00140D6D"/>
    <w:rsid w:val="00147ACA"/>
    <w:rsid w:val="0019663D"/>
    <w:rsid w:val="0022163F"/>
    <w:rsid w:val="00247204"/>
    <w:rsid w:val="00266D33"/>
    <w:rsid w:val="002854A9"/>
    <w:rsid w:val="002B1D4A"/>
    <w:rsid w:val="002C46D8"/>
    <w:rsid w:val="002E1F13"/>
    <w:rsid w:val="003044A2"/>
    <w:rsid w:val="00306061"/>
    <w:rsid w:val="00347806"/>
    <w:rsid w:val="0035626C"/>
    <w:rsid w:val="00376077"/>
    <w:rsid w:val="00382604"/>
    <w:rsid w:val="003F27B9"/>
    <w:rsid w:val="004004B5"/>
    <w:rsid w:val="004148B3"/>
    <w:rsid w:val="00452D86"/>
    <w:rsid w:val="00456CDB"/>
    <w:rsid w:val="004A3278"/>
    <w:rsid w:val="004D25D8"/>
    <w:rsid w:val="005F347E"/>
    <w:rsid w:val="00606522"/>
    <w:rsid w:val="006273B6"/>
    <w:rsid w:val="006321EB"/>
    <w:rsid w:val="006861E3"/>
    <w:rsid w:val="00701FAF"/>
    <w:rsid w:val="00853404"/>
    <w:rsid w:val="008D3B67"/>
    <w:rsid w:val="00A21619"/>
    <w:rsid w:val="00A26D98"/>
    <w:rsid w:val="00A72AB2"/>
    <w:rsid w:val="00AB7215"/>
    <w:rsid w:val="00AB7498"/>
    <w:rsid w:val="00B20B21"/>
    <w:rsid w:val="00B500B7"/>
    <w:rsid w:val="00BA1097"/>
    <w:rsid w:val="00BA2442"/>
    <w:rsid w:val="00BB25C3"/>
    <w:rsid w:val="00BE10CE"/>
    <w:rsid w:val="00C45C80"/>
    <w:rsid w:val="00CD38D2"/>
    <w:rsid w:val="00CE6BE2"/>
    <w:rsid w:val="00D548B3"/>
    <w:rsid w:val="00D75E1E"/>
    <w:rsid w:val="00DA78A9"/>
    <w:rsid w:val="00DB72E1"/>
    <w:rsid w:val="00E34CDB"/>
    <w:rsid w:val="00E87E33"/>
    <w:rsid w:val="00EC2C76"/>
    <w:rsid w:val="00F9634F"/>
    <w:rsid w:val="01147F10"/>
    <w:rsid w:val="01BE5C10"/>
    <w:rsid w:val="01C0201B"/>
    <w:rsid w:val="02E743F3"/>
    <w:rsid w:val="03CD3581"/>
    <w:rsid w:val="04546492"/>
    <w:rsid w:val="054E7A62"/>
    <w:rsid w:val="057704A1"/>
    <w:rsid w:val="058D2BD0"/>
    <w:rsid w:val="0828271D"/>
    <w:rsid w:val="083F1AB1"/>
    <w:rsid w:val="084A705D"/>
    <w:rsid w:val="08686F25"/>
    <w:rsid w:val="0B542115"/>
    <w:rsid w:val="0D9A4456"/>
    <w:rsid w:val="0DB33389"/>
    <w:rsid w:val="0F50181E"/>
    <w:rsid w:val="0F586F34"/>
    <w:rsid w:val="10B417CB"/>
    <w:rsid w:val="114255F5"/>
    <w:rsid w:val="119B2680"/>
    <w:rsid w:val="120678DF"/>
    <w:rsid w:val="15440D4D"/>
    <w:rsid w:val="15812A45"/>
    <w:rsid w:val="1631571A"/>
    <w:rsid w:val="18276A54"/>
    <w:rsid w:val="1A483201"/>
    <w:rsid w:val="1AF15BD5"/>
    <w:rsid w:val="1D0E4DCA"/>
    <w:rsid w:val="1DCD4FA0"/>
    <w:rsid w:val="1EC5648C"/>
    <w:rsid w:val="1EEC29D4"/>
    <w:rsid w:val="20353F57"/>
    <w:rsid w:val="22703398"/>
    <w:rsid w:val="24976248"/>
    <w:rsid w:val="24E542B2"/>
    <w:rsid w:val="25003FDE"/>
    <w:rsid w:val="25D47A2C"/>
    <w:rsid w:val="26034AD3"/>
    <w:rsid w:val="26A03147"/>
    <w:rsid w:val="26BC7D90"/>
    <w:rsid w:val="27782269"/>
    <w:rsid w:val="28E700C4"/>
    <w:rsid w:val="2A307897"/>
    <w:rsid w:val="2A3A21AE"/>
    <w:rsid w:val="2AA34CC0"/>
    <w:rsid w:val="30481C3A"/>
    <w:rsid w:val="30673AA9"/>
    <w:rsid w:val="316117B5"/>
    <w:rsid w:val="331F3435"/>
    <w:rsid w:val="33E971EE"/>
    <w:rsid w:val="35F7037B"/>
    <w:rsid w:val="3604449F"/>
    <w:rsid w:val="36327236"/>
    <w:rsid w:val="385E6AE5"/>
    <w:rsid w:val="390D26CF"/>
    <w:rsid w:val="3C0C4A9A"/>
    <w:rsid w:val="3E1D5959"/>
    <w:rsid w:val="3E2F0C3C"/>
    <w:rsid w:val="405D22BA"/>
    <w:rsid w:val="418C67F6"/>
    <w:rsid w:val="418E2B7C"/>
    <w:rsid w:val="45DA7122"/>
    <w:rsid w:val="464D6940"/>
    <w:rsid w:val="47EC5F75"/>
    <w:rsid w:val="484A4868"/>
    <w:rsid w:val="4EB83E58"/>
    <w:rsid w:val="5065451B"/>
    <w:rsid w:val="52230864"/>
    <w:rsid w:val="53132108"/>
    <w:rsid w:val="54693859"/>
    <w:rsid w:val="551C16C9"/>
    <w:rsid w:val="55F26890"/>
    <w:rsid w:val="5647069A"/>
    <w:rsid w:val="569B6D5B"/>
    <w:rsid w:val="59BF1A65"/>
    <w:rsid w:val="5A2C7C0A"/>
    <w:rsid w:val="5AC002EC"/>
    <w:rsid w:val="5B0F647C"/>
    <w:rsid w:val="5BF41AFE"/>
    <w:rsid w:val="5C411A0F"/>
    <w:rsid w:val="5C8D1598"/>
    <w:rsid w:val="5D6C3433"/>
    <w:rsid w:val="60781EF7"/>
    <w:rsid w:val="60E4057C"/>
    <w:rsid w:val="637D0A8C"/>
    <w:rsid w:val="63F60908"/>
    <w:rsid w:val="64B21DE4"/>
    <w:rsid w:val="67010372"/>
    <w:rsid w:val="67456812"/>
    <w:rsid w:val="68EE4C77"/>
    <w:rsid w:val="6B9E64FB"/>
    <w:rsid w:val="6C8D0DE8"/>
    <w:rsid w:val="6D78129B"/>
    <w:rsid w:val="6EC16FCD"/>
    <w:rsid w:val="6ED91EE1"/>
    <w:rsid w:val="6F9326E7"/>
    <w:rsid w:val="720B23B8"/>
    <w:rsid w:val="748F427D"/>
    <w:rsid w:val="763B629A"/>
    <w:rsid w:val="7652592F"/>
    <w:rsid w:val="77990D78"/>
    <w:rsid w:val="79CA3CEB"/>
    <w:rsid w:val="7B89575E"/>
    <w:rsid w:val="7B8B5C4F"/>
    <w:rsid w:val="7CD5616B"/>
    <w:rsid w:val="7E3C523D"/>
    <w:rsid w:val="7F727691"/>
    <w:rsid w:val="EFDF8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pPr>
      <w:widowControl w:val="0"/>
      <w:jc w:val="both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basedOn w:val="6"/>
    <w:link w:val="3"/>
    <w:semiHidden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2"/>
    <w:qFormat/>
    <w:uiPriority w:val="99"/>
    <w:rPr>
      <w:sz w:val="18"/>
      <w:szCs w:val="18"/>
    </w:rPr>
  </w:style>
  <w:style w:type="paragraph" w:customStyle="1" w:styleId="9">
    <w:name w:val="列出段落1"/>
    <w:basedOn w:val="1"/>
    <w:qFormat/>
    <w:uiPriority w:val="34"/>
    <w:pPr>
      <w:ind w:firstLine="420" w:firstLineChars="200"/>
    </w:p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paragraph" w:customStyle="1" w:styleId="11">
    <w:name w:val="Default"/>
    <w:unhideWhenUsed/>
    <w:qFormat/>
    <w:uiPriority w:val="99"/>
    <w:pPr>
      <w:widowControl w:val="0"/>
      <w:autoSpaceDE w:val="0"/>
      <w:autoSpaceDN w:val="0"/>
      <w:adjustRightInd w:val="0"/>
      <w:spacing w:beforeLines="0" w:afterLines="0"/>
    </w:pPr>
    <w:rPr>
      <w:rFonts w:hint="eastAsia" w:ascii="黑体" w:hAnsi="黑体" w:eastAsia="黑体" w:cs="Times New Roman"/>
      <w:color w:val="000000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2586</Words>
  <Characters>2975</Characters>
  <Lines>18</Lines>
  <Paragraphs>5</Paragraphs>
  <TotalTime>3</TotalTime>
  <ScaleCrop>false</ScaleCrop>
  <LinksUpToDate>false</LinksUpToDate>
  <CharactersWithSpaces>3138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2015-06-04T10:34:00Z</dcterms:created>
  <dc:creator>Windows 用户</dc:creator>
  <cp:lastModifiedBy>刘桂芳</cp:lastModifiedBy>
  <cp:lastPrinted>2015-06-04T15:20:00Z</cp:lastPrinted>
  <dcterms:modified xsi:type="dcterms:W3CDTF">2023-11-01T08:30:41Z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C5C9B9F3425E46F491C175AEB201AB05_12</vt:lpwstr>
  </property>
</Properties>
</file>