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2"/>
        <w:gridCol w:w="6249"/>
      </w:tblGrid>
      <w:tr w14:paraId="1BD7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54C3B606">
            <w:pPr>
              <w:spacing w:line="300" w:lineRule="auto"/>
              <w:ind w:right="480" w:firstLine="118" w:firstLineChars="4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v</w:t>
            </w: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516F0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32" w:type="dxa"/>
            <w:tcBorders>
              <w:bottom w:val="nil"/>
              <w:right w:val="nil"/>
            </w:tcBorders>
          </w:tcPr>
          <w:p w14:paraId="24283253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49" w:type="dxa"/>
            <w:tcBorders>
              <w:left w:val="nil"/>
              <w:bottom w:val="nil"/>
            </w:tcBorders>
            <w:vAlign w:val="center"/>
          </w:tcPr>
          <w:p w14:paraId="46F065CA"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2340</w:t>
            </w:r>
          </w:p>
        </w:tc>
      </w:tr>
      <w:tr w14:paraId="6527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08E71B5F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1822399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 w14:paraId="5982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0B11988E"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7638F4E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聚氨酯分散体</w:t>
            </w:r>
          </w:p>
        </w:tc>
      </w:tr>
      <w:tr w14:paraId="246D4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01280176"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</w:tcPr>
          <w:p w14:paraId="3B2CA1E5"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油墨</w:t>
            </w:r>
          </w:p>
        </w:tc>
      </w:tr>
      <w:tr w14:paraId="5009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063F643"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34168F5B">
            <w:pPr>
              <w:spacing w:line="300" w:lineRule="auto"/>
              <w:rPr>
                <w:sz w:val="24"/>
              </w:rPr>
            </w:pPr>
          </w:p>
        </w:tc>
      </w:tr>
      <w:tr w14:paraId="1A6F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68CCDC42"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3BD36661"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42B32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193EE276"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7FD7DD9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325F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32" w:type="dxa"/>
            <w:tcBorders>
              <w:top w:val="nil"/>
              <w:bottom w:val="nil"/>
              <w:right w:val="nil"/>
            </w:tcBorders>
          </w:tcPr>
          <w:p w14:paraId="2F450CE7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49" w:type="dxa"/>
            <w:tcBorders>
              <w:top w:val="nil"/>
              <w:left w:val="nil"/>
              <w:bottom w:val="nil"/>
            </w:tcBorders>
            <w:vAlign w:val="center"/>
          </w:tcPr>
          <w:p w14:paraId="60B18127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 w14:paraId="26C2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32" w:type="dxa"/>
            <w:tcBorders>
              <w:top w:val="nil"/>
              <w:bottom w:val="single" w:color="auto" w:sz="4" w:space="0"/>
              <w:right w:val="nil"/>
            </w:tcBorders>
          </w:tcPr>
          <w:p w14:paraId="5D939341"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4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051AE83"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 w14:paraId="641081D7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6C63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 w14:paraId="7FA7CFA3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 w14:paraId="238C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8" w:hRule="atLeast"/>
        </w:trPr>
        <w:tc>
          <w:tcPr>
            <w:tcW w:w="9781" w:type="dxa"/>
          </w:tcPr>
          <w:p w14:paraId="7C5D4C4B">
            <w:pPr>
              <w:pStyle w:val="11"/>
              <w:autoSpaceDE w:val="0"/>
              <w:autoSpaceDN w:val="0"/>
              <w:adjustRightInd w:val="0"/>
              <w:spacing w:line="300" w:lineRule="auto"/>
              <w:ind w:left="420" w:firstLine="0" w:firstLineChars="0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</w:p>
          <w:p w14:paraId="449760E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 xml:space="preserve"> 物质或混合物的分类</w:t>
            </w:r>
          </w:p>
          <w:p w14:paraId="6525E072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GHS危险性类别:</w:t>
            </w:r>
          </w:p>
          <w:p w14:paraId="0AB0EA61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 w14:paraId="0DD6119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2.2 标签要素</w:t>
            </w:r>
          </w:p>
          <w:p w14:paraId="0798BF0C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GHS-象形图 </w:t>
            </w:r>
          </w:p>
          <w:p w14:paraId="6643AF4E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根据GHS不属于危害化学品</w:t>
            </w:r>
          </w:p>
          <w:p w14:paraId="4B756975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2.3 其他危险 无适用资料。</w:t>
            </w:r>
          </w:p>
        </w:tc>
      </w:tr>
    </w:tbl>
    <w:p w14:paraId="79D2D00C">
      <w:pPr>
        <w:spacing w:line="300" w:lineRule="auto"/>
        <w:ind w:right="480"/>
        <w:rPr>
          <w:sz w:val="24"/>
        </w:rPr>
      </w:pPr>
    </w:p>
    <w:p w14:paraId="07A538F0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2"/>
        <w:gridCol w:w="2770"/>
        <w:gridCol w:w="3109"/>
      </w:tblGrid>
      <w:tr w14:paraId="2DE73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781D212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4C2B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902" w:type="dxa"/>
            <w:tcBorders>
              <w:bottom w:val="nil"/>
              <w:right w:val="nil"/>
            </w:tcBorders>
          </w:tcPr>
          <w:p w14:paraId="5357148D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5879" w:type="dxa"/>
            <w:gridSpan w:val="2"/>
            <w:tcBorders>
              <w:left w:val="nil"/>
              <w:bottom w:val="nil"/>
            </w:tcBorders>
          </w:tcPr>
          <w:p w14:paraId="2B781ACD"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4CBD2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573B12EF"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20834661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447B2E91"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0E985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nil"/>
              <w:right w:val="nil"/>
            </w:tcBorders>
          </w:tcPr>
          <w:p w14:paraId="37C6AB41">
            <w:pPr>
              <w:spacing w:line="300" w:lineRule="auto"/>
              <w:ind w:left="459" w:right="34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48E0EF5B">
            <w:pPr>
              <w:spacing w:line="300" w:lineRule="auto"/>
              <w:ind w:right="480" w:firstLine="720" w:firstLineChars="300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</w:tcBorders>
          </w:tcPr>
          <w:p w14:paraId="21A0965D">
            <w:pPr>
              <w:spacing w:line="300" w:lineRule="auto"/>
              <w:ind w:right="480"/>
              <w:jc w:val="center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3564F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902" w:type="dxa"/>
            <w:tcBorders>
              <w:top w:val="nil"/>
              <w:bottom w:val="single" w:color="auto" w:sz="4" w:space="0"/>
              <w:right w:val="nil"/>
            </w:tcBorders>
          </w:tcPr>
          <w:p w14:paraId="2BBC1104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聚氨酯聚合物</w:t>
            </w:r>
          </w:p>
          <w:p w14:paraId="2B7130A4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水</w:t>
            </w:r>
          </w:p>
          <w:p w14:paraId="6BD508CB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三乙</w:t>
            </w:r>
            <w:r>
              <w:rPr>
                <w:rFonts w:hint="eastAsia"/>
                <w:sz w:val="24"/>
              </w:rPr>
              <w:t>胺</w:t>
            </w:r>
          </w:p>
        </w:tc>
        <w:tc>
          <w:tcPr>
            <w:tcW w:w="277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8F2A09B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商业机密</w:t>
            </w:r>
          </w:p>
          <w:p w14:paraId="644F93BA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7732-18-5</w:t>
            </w:r>
          </w:p>
          <w:p w14:paraId="07474BD2">
            <w:pPr>
              <w:spacing w:line="300" w:lineRule="auto"/>
              <w:ind w:right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121-44-8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3E591EE2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30-40</w:t>
            </w:r>
          </w:p>
          <w:p w14:paraId="6AC35071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60-70</w:t>
            </w:r>
          </w:p>
          <w:p w14:paraId="41914FBF">
            <w:pPr>
              <w:spacing w:line="300" w:lineRule="auto"/>
              <w:ind w:right="48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0.5-2</w:t>
            </w:r>
          </w:p>
        </w:tc>
      </w:tr>
    </w:tbl>
    <w:p w14:paraId="5EB3B3A6">
      <w:pPr>
        <w:spacing w:line="300" w:lineRule="auto"/>
        <w:ind w:right="480"/>
        <w:rPr>
          <w:sz w:val="24"/>
        </w:rPr>
      </w:pPr>
    </w:p>
    <w:tbl>
      <w:tblPr>
        <w:tblStyle w:val="5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676"/>
      </w:tblGrid>
      <w:tr w14:paraId="2819A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9715E8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10B5F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119" w:type="dxa"/>
            <w:tcBorders>
              <w:top w:val="single" w:color="auto" w:sz="4" w:space="0"/>
              <w:bottom w:val="nil"/>
              <w:right w:val="nil"/>
            </w:tcBorders>
          </w:tcPr>
          <w:p w14:paraId="40210055"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676" w:type="dxa"/>
            <w:tcBorders>
              <w:top w:val="single" w:color="auto" w:sz="4" w:space="0"/>
              <w:left w:val="nil"/>
              <w:bottom w:val="nil"/>
            </w:tcBorders>
          </w:tcPr>
          <w:p w14:paraId="3FCD9126">
            <w:p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立即脱掉所有被污染的衣物。</w:t>
            </w:r>
          </w:p>
        </w:tc>
      </w:tr>
      <w:tr w14:paraId="601C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01A82AE4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73767C6C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禁止催吐，须就医。</w:t>
            </w:r>
          </w:p>
        </w:tc>
      </w:tr>
      <w:tr w14:paraId="7B964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241F303F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6BAE6F5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撑开眼睑，用温水长时间冲洗（至少</w:t>
            </w:r>
            <w:r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分钟），就诊眼科医生。</w:t>
            </w:r>
          </w:p>
        </w:tc>
      </w:tr>
      <w:tr w14:paraId="367F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119" w:type="dxa"/>
            <w:tcBorders>
              <w:top w:val="nil"/>
              <w:bottom w:val="nil"/>
              <w:right w:val="nil"/>
            </w:tcBorders>
          </w:tcPr>
          <w:p w14:paraId="20395C1D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676" w:type="dxa"/>
            <w:tcBorders>
              <w:top w:val="nil"/>
              <w:left w:val="nil"/>
              <w:bottom w:val="nil"/>
            </w:tcBorders>
          </w:tcPr>
          <w:p w14:paraId="106D34D6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4EB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119" w:type="dxa"/>
            <w:tcBorders>
              <w:top w:val="nil"/>
              <w:bottom w:val="single" w:color="auto" w:sz="4" w:space="0"/>
              <w:right w:val="nil"/>
            </w:tcBorders>
          </w:tcPr>
          <w:p w14:paraId="6E77B54B">
            <w:pPr>
              <w:numPr>
                <w:ilvl w:val="0"/>
                <w:numId w:val="3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676" w:type="dxa"/>
            <w:tcBorders>
              <w:top w:val="nil"/>
              <w:left w:val="nil"/>
              <w:bottom w:val="single" w:color="auto" w:sz="4" w:space="0"/>
            </w:tcBorders>
          </w:tcPr>
          <w:p w14:paraId="12BBFE2F">
            <w:pPr>
              <w:spacing w:line="300" w:lineRule="auto"/>
              <w:ind w:left="47" w:leftChars="19" w:hanging="7" w:hangingChars="3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若刺激呼吸道，就医。</w:t>
            </w:r>
          </w:p>
        </w:tc>
      </w:tr>
    </w:tbl>
    <w:p w14:paraId="344E702D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5DA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F6A897C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29BAA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402" w:type="dxa"/>
            <w:tcBorders>
              <w:top w:val="single" w:color="auto" w:sz="4" w:space="0"/>
            </w:tcBorders>
          </w:tcPr>
          <w:p w14:paraId="2C8DD3BA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379" w:type="dxa"/>
            <w:tcBorders>
              <w:top w:val="single" w:color="auto" w:sz="4" w:space="0"/>
            </w:tcBorders>
          </w:tcPr>
          <w:p w14:paraId="1437CC37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），泡沫，灭火粉末，大火时应用喷洒水。</w:t>
            </w:r>
          </w:p>
        </w:tc>
      </w:tr>
      <w:tr w14:paraId="699DC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402" w:type="dxa"/>
          </w:tcPr>
          <w:p w14:paraId="208D0A89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379" w:type="dxa"/>
          </w:tcPr>
          <w:p w14:paraId="51E4C812">
            <w:pPr>
              <w:tabs>
                <w:tab w:val="left" w:pos="-108"/>
              </w:tabs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</w:p>
        </w:tc>
      </w:tr>
      <w:tr w14:paraId="24791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</w:tcPr>
          <w:p w14:paraId="45527219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379" w:type="dxa"/>
          </w:tcPr>
          <w:p w14:paraId="3F566E22">
            <w:pPr>
              <w:spacing w:line="300" w:lineRule="auto"/>
              <w:ind w:left="34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燃烧时释放一氧化碳、二氧化碳、氮氧化物和少量的氰化氢</w:t>
            </w:r>
          </w:p>
        </w:tc>
      </w:tr>
      <w:tr w14:paraId="7381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402" w:type="dxa"/>
          </w:tcPr>
          <w:p w14:paraId="37C750EE">
            <w:pPr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</w:tcPr>
          <w:p w14:paraId="26491A24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7D28D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0E836FF5"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2959CAC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0AD9E699"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0005A251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35553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06BA5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6A61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360" w:type="dxa"/>
            <w:tcBorders>
              <w:top w:val="single" w:color="auto" w:sz="4" w:space="0"/>
            </w:tcBorders>
          </w:tcPr>
          <w:p w14:paraId="6B2893AD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421" w:type="dxa"/>
            <w:tcBorders>
              <w:top w:val="single" w:color="auto" w:sz="4" w:space="0"/>
            </w:tcBorders>
          </w:tcPr>
          <w:p w14:paraId="39A603EB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戴防护设备。远离火源。</w:t>
            </w:r>
          </w:p>
          <w:p w14:paraId="3B197320"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排气。令未授权人员离开。</w:t>
            </w:r>
          </w:p>
        </w:tc>
      </w:tr>
      <w:tr w14:paraId="27E9B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</w:tcPr>
          <w:p w14:paraId="4BE3AF09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421" w:type="dxa"/>
          </w:tcPr>
          <w:p w14:paraId="3BA59DF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b/>
                <w:sz w:val="24"/>
              </w:rPr>
              <w:t>。</w:t>
            </w:r>
          </w:p>
        </w:tc>
      </w:tr>
      <w:tr w14:paraId="6284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360" w:type="dxa"/>
            <w:tcBorders>
              <w:bottom w:val="single" w:color="auto" w:sz="4" w:space="0"/>
            </w:tcBorders>
          </w:tcPr>
          <w:p w14:paraId="6DFC28E8"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421" w:type="dxa"/>
            <w:tcBorders>
              <w:bottom w:val="single" w:color="auto" w:sz="4" w:space="0"/>
            </w:tcBorders>
          </w:tcPr>
          <w:p w14:paraId="7439F8A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 w14:paraId="5423BAE0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421"/>
      </w:tblGrid>
      <w:tr w14:paraId="3E7D5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033F46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3203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2C3160BA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677F990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操作时遵守化学品的常见预防措施。避免与皮肤和眼睛接触。</w:t>
            </w:r>
          </w:p>
          <w:p w14:paraId="7F4C729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远离食物、饮料和烟草。休息以前和工作结束时洗手。将工作服单独存放。</w:t>
            </w:r>
          </w:p>
          <w:p w14:paraId="25A0364F">
            <w:pPr>
              <w:tabs>
                <w:tab w:val="left" w:pos="6129"/>
              </w:tabs>
              <w:autoSpaceDE w:val="0"/>
              <w:autoSpaceDN w:val="0"/>
              <w:adjustRightInd w:val="0"/>
              <w:spacing w:line="300" w:lineRule="auto"/>
              <w:ind w:right="482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更换被污染或浸湿的衣物</w:t>
            </w:r>
          </w:p>
        </w:tc>
      </w:tr>
      <w:tr w14:paraId="16FF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360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AAE1142"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421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10E7BD47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容器保持紧闭，存储在干燥通风处。为保持产品质量，必须遵守我们产品信息表的储存条件。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28A99C1E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6500"/>
      </w:tblGrid>
      <w:tr w14:paraId="037B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1EB8ED0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2420A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2A80F524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控制参数</w:t>
            </w:r>
          </w:p>
        </w:tc>
      </w:tr>
      <w:tr w14:paraId="1741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9860" w:type="dxa"/>
            <w:gridSpan w:val="2"/>
            <w:tcBorders>
              <w:top w:val="nil"/>
              <w:bottom w:val="single" w:color="auto" w:sz="4" w:space="0"/>
            </w:tcBorders>
          </w:tcPr>
          <w:p w14:paraId="59777B9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根据</w:t>
            </w:r>
            <w:r>
              <w:rPr>
                <w:b/>
                <w:sz w:val="24"/>
              </w:rPr>
              <w:t>EC</w:t>
            </w:r>
            <w:r>
              <w:rPr>
                <w:rFonts w:hint="eastAsia"/>
                <w:b/>
                <w:sz w:val="24"/>
              </w:rPr>
              <w:t>指令</w:t>
            </w:r>
            <w:r>
              <w:rPr>
                <w:b/>
                <w:sz w:val="24"/>
              </w:rPr>
              <w:t>2006/121/EG,</w:t>
            </w:r>
            <w:r>
              <w:rPr>
                <w:rFonts w:hint="eastAsia"/>
                <w:b/>
                <w:sz w:val="24"/>
              </w:rPr>
              <w:t>无可用的接触限值信息</w:t>
            </w:r>
          </w:p>
        </w:tc>
      </w:tr>
      <w:tr w14:paraId="4738A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 w14:paraId="09F902C8"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8.2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 w14:paraId="22405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13851FC5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0051C62C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3861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2EAEFBDE"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</w:tr>
      <w:tr w14:paraId="142B9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1EBA174E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  <w:vAlign w:val="center"/>
          </w:tcPr>
          <w:p w14:paraId="7F867BA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</w:t>
            </w:r>
          </w:p>
        </w:tc>
      </w:tr>
      <w:tr w14:paraId="004C7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3CB52E32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766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055A4C7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FF0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 w14:paraId="62A256CA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473DC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770C4877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26A06504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 w14:paraId="3CE2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nil"/>
              <w:right w:val="nil"/>
            </w:tcBorders>
          </w:tcPr>
          <w:p w14:paraId="2828556B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500" w:type="dxa"/>
            <w:tcBorders>
              <w:top w:val="nil"/>
              <w:left w:val="nil"/>
              <w:bottom w:val="nil"/>
            </w:tcBorders>
          </w:tcPr>
          <w:p w14:paraId="0DECAA79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戴眼罩</w:t>
            </w:r>
            <w:r>
              <w:rPr>
                <w:rFonts w:cs="Arial"/>
                <w:kern w:val="0"/>
                <w:sz w:val="24"/>
              </w:rPr>
              <w:t>/</w:t>
            </w:r>
            <w:r>
              <w:rPr>
                <w:rFonts w:hint="eastAsia" w:hAnsi="Arial" w:cs="Arial"/>
                <w:kern w:val="0"/>
                <w:sz w:val="24"/>
              </w:rPr>
              <w:t>面罩。</w:t>
            </w:r>
          </w:p>
        </w:tc>
      </w:tr>
      <w:tr w14:paraId="0FE88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3360" w:type="dxa"/>
            <w:tcBorders>
              <w:top w:val="nil"/>
              <w:bottom w:val="single" w:color="auto" w:sz="4" w:space="0"/>
              <w:right w:val="nil"/>
            </w:tcBorders>
          </w:tcPr>
          <w:p w14:paraId="15E50D97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500" w:type="dxa"/>
            <w:tcBorders>
              <w:top w:val="nil"/>
              <w:left w:val="nil"/>
              <w:bottom w:val="single" w:color="auto" w:sz="4" w:space="0"/>
            </w:tcBorders>
          </w:tcPr>
          <w:p w14:paraId="06502A26">
            <w:pPr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 w14:paraId="29A82BCE">
      <w:pPr>
        <w:spacing w:line="300" w:lineRule="auto"/>
        <w:ind w:right="480"/>
        <w:rPr>
          <w:b/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5E63A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353BB0E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047B7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507187B1">
            <w:pPr>
              <w:numPr>
                <w:ilvl w:val="0"/>
                <w:numId w:val="7"/>
              </w:numPr>
              <w:spacing w:line="300" w:lineRule="auto"/>
              <w:ind w:left="732" w:hanging="73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 观：</w:t>
            </w:r>
            <w:r>
              <w:rPr>
                <w:b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 w14:paraId="41EE714B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淡黄色</w:t>
            </w:r>
            <w:r>
              <w:rPr>
                <w:rFonts w:hint="eastAsia"/>
                <w:sz w:val="24"/>
              </w:rPr>
              <w:t>透明至半透明液体</w:t>
            </w:r>
          </w:p>
        </w:tc>
      </w:tr>
      <w:tr w14:paraId="1D883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116DFF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嗅觉阀值：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246FCC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A66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9D8AFDD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7A7A5FC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  <w:lang w:val="en-US" w:eastAsia="zh-CN"/>
              </w:rPr>
              <w:t>9</w:t>
            </w:r>
            <w:r>
              <w:rPr>
                <w:sz w:val="24"/>
              </w:rPr>
              <w:t xml:space="preserve">                                   </w:t>
            </w:r>
          </w:p>
        </w:tc>
      </w:tr>
      <w:tr w14:paraId="7B60A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805E016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4B08D265"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 w14:paraId="151A9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3969ECE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F9D747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 w14:paraId="342F7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4A04D21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E41BA74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初沸点以下无闪点</w:t>
            </w:r>
          </w:p>
        </w:tc>
      </w:tr>
      <w:tr w14:paraId="73097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2582FC0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6553FF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A30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D409CF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7BB773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4BDAB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0B82F424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07FCC6E"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 w14:paraId="6380F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71A6ECF0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AE929B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988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469D8F3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相对密度：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290D5D6B"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</w:t>
            </w:r>
            <w:r>
              <w:rPr>
                <w:rFonts w:hint="eastAsia"/>
                <w:sz w:val="24"/>
                <w:lang w:val="en-US" w:eastAsia="zh-CN"/>
              </w:rPr>
              <w:t>5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 w14:paraId="6203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39B0226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0D09A2D8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可混溶</w:t>
            </w:r>
          </w:p>
        </w:tc>
      </w:tr>
      <w:tr w14:paraId="5632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1A43DCFB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6E9E89EF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5DB57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452CEC8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水分配系数的对数值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1E573FC7"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2D47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C17ECA5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  <w:vAlign w:val="center"/>
          </w:tcPr>
          <w:p w14:paraId="370500E1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 w14:paraId="7D67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190C472"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07A1FA60"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 w14:paraId="6EFD4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2FA859B8"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9.17动力粘度：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6BE19820">
            <w:pPr>
              <w:pStyle w:val="12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＜1</w:t>
            </w:r>
            <w:r>
              <w:rPr>
                <w:rFonts w:cs="Arial"/>
                <w:kern w:val="0"/>
                <w:sz w:val="24"/>
              </w:rPr>
              <w:t>000 mPa.s</w:t>
            </w:r>
          </w:p>
        </w:tc>
      </w:tr>
      <w:tr w14:paraId="65C0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67368D3E">
            <w:pPr>
              <w:tabs>
                <w:tab w:val="left" w:pos="938"/>
              </w:tabs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9.18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D07E38A">
            <w:pPr>
              <w:pStyle w:val="12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cs="Arial"/>
                <w:kern w:val="0"/>
                <w:sz w:val="24"/>
              </w:rPr>
              <w:t>3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/>
                <w:kern w:val="0"/>
                <w:sz w:val="24"/>
              </w:rPr>
              <w:t>±</w:t>
            </w:r>
            <w:r>
              <w:rPr>
                <w:kern w:val="0"/>
                <w:sz w:val="24"/>
              </w:rPr>
              <w:t>2</w:t>
            </w:r>
            <w:r>
              <w:rPr>
                <w:rFonts w:hint="eastAsia" w:cs="Arial"/>
                <w:kern w:val="0"/>
                <w:sz w:val="24"/>
              </w:rPr>
              <w:t>%</w:t>
            </w:r>
          </w:p>
        </w:tc>
      </w:tr>
      <w:tr w14:paraId="27555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0F7C1B1"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9.19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7D3FDE89">
            <w:pPr>
              <w:pStyle w:val="12"/>
              <w:spacing w:line="300" w:lineRule="auto"/>
              <w:ind w:right="34" w:rightChars="16" w:firstLine="0" w:firstLineChars="0"/>
              <w:rPr>
                <w:rFonts w:cs="Arial"/>
                <w:kern w:val="0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</w:t>
            </w:r>
            <w:bookmarkStart w:id="0" w:name="_GoBack"/>
            <w:bookmarkEnd w:id="0"/>
            <w:r>
              <w:rPr>
                <w:rFonts w:hint="eastAsia" w:cs="Arial"/>
                <w:kern w:val="0"/>
                <w:sz w:val="24"/>
              </w:rPr>
              <w:t>指标，产品指标请参见产品技术信息表。</w:t>
            </w:r>
          </w:p>
        </w:tc>
      </w:tr>
    </w:tbl>
    <w:p w14:paraId="052E85D2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7220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02ED87A7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7863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402" w:type="dxa"/>
            <w:tcBorders>
              <w:top w:val="single" w:color="auto" w:sz="4" w:space="0"/>
              <w:bottom w:val="nil"/>
              <w:right w:val="nil"/>
            </w:tcBorders>
          </w:tcPr>
          <w:p w14:paraId="19C35F99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379" w:type="dxa"/>
            <w:tcBorders>
              <w:top w:val="single" w:color="auto" w:sz="4" w:space="0"/>
              <w:left w:val="nil"/>
              <w:bottom w:val="nil"/>
            </w:tcBorders>
          </w:tcPr>
          <w:p w14:paraId="65563E8B"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 w14:paraId="225C0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402" w:type="dxa"/>
            <w:tcBorders>
              <w:top w:val="nil"/>
              <w:bottom w:val="nil"/>
              <w:right w:val="nil"/>
            </w:tcBorders>
          </w:tcPr>
          <w:p w14:paraId="5F55C83B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2EAC0EC5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在热分解过程中生成易燃有害气体。</w:t>
            </w:r>
          </w:p>
        </w:tc>
      </w:tr>
      <w:tr w14:paraId="3779B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310217EF"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56B8E50F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 w14:paraId="1E96C52E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5E47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CE3466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22E9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</w:tcPr>
          <w:p w14:paraId="4EF8B37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该产品无可用的毒理学研究。 下面是这些成分的毒理学数据。</w:t>
            </w:r>
          </w:p>
          <w:p w14:paraId="64109B2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11.1 毒理学效应 </w:t>
            </w:r>
          </w:p>
          <w:p w14:paraId="0EC9A29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急性毒性，经口</w:t>
            </w:r>
          </w:p>
          <w:p w14:paraId="0637719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6AD1865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半数致死剂量(LD50) 大鼠: &gt; </w:t>
            </w:r>
            <w:r>
              <w:rPr>
                <w:rFonts w:ascii="宋体" w:hAnsi="宋体" w:cs="宋体"/>
                <w:sz w:val="24"/>
              </w:rPr>
              <w:t>2</w:t>
            </w:r>
            <w:r>
              <w:rPr>
                <w:rFonts w:hint="eastAsia" w:ascii="宋体" w:hAnsi="宋体" w:cs="宋体"/>
                <w:sz w:val="24"/>
              </w:rPr>
              <w:t>,000 mg/kg</w:t>
            </w:r>
          </w:p>
          <w:p w14:paraId="5936F6F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23</w:t>
            </w:r>
          </w:p>
          <w:p w14:paraId="0953F10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对类似产品的毒理学研究</w:t>
            </w:r>
          </w:p>
          <w:p w14:paraId="209CF61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59CCF39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急性毒性，经皮</w:t>
            </w:r>
          </w:p>
          <w:p w14:paraId="30153B0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089C71B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评估：此物质或混合物无急性皮肤毒性</w:t>
            </w:r>
          </w:p>
          <w:p w14:paraId="49AA68B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28C20C2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2C725E5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急性毒性，吸入</w:t>
            </w:r>
          </w:p>
          <w:p w14:paraId="27FAA75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7C39BF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试验环境：粉尘/烟雾</w:t>
            </w:r>
          </w:p>
          <w:p w14:paraId="161C907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评估：此物质或混合物无急性呼吸毒性</w:t>
            </w:r>
          </w:p>
          <w:p w14:paraId="62CF4F8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03</w:t>
            </w:r>
          </w:p>
          <w:p w14:paraId="7D4CAE7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57CC908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639A7AC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原发性皮肤刺激</w:t>
            </w:r>
          </w:p>
          <w:p w14:paraId="4A07825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F381DD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 w14:paraId="6F766EB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 w14:paraId="2BF8D80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分类：无皮肤刺激</w:t>
            </w:r>
          </w:p>
          <w:p w14:paraId="6F2F0B9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方法：OECD化学品测试指南404</w:t>
            </w:r>
          </w:p>
          <w:p w14:paraId="29096A2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对类似产品的研究</w:t>
            </w:r>
          </w:p>
          <w:p w14:paraId="655B2D1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3FD0177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原发性粘膜刺激</w:t>
            </w:r>
          </w:p>
          <w:p w14:paraId="3F912F8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322469C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物种：家兔</w:t>
            </w:r>
          </w:p>
          <w:p w14:paraId="581F563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结果：轻微刺激</w:t>
            </w:r>
          </w:p>
          <w:p w14:paraId="3491E59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分类：无眼睛刺激</w:t>
            </w:r>
          </w:p>
          <w:p w14:paraId="76D2079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方法：OECD化学品测试指南40</w:t>
            </w:r>
            <w:r>
              <w:rPr>
                <w:rFonts w:ascii="宋体" w:hAnsi="宋体" w:cs="宋体"/>
                <w:sz w:val="24"/>
              </w:rPr>
              <w:t>5</w:t>
            </w:r>
          </w:p>
          <w:p w14:paraId="281A6FB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353CF52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2199D37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致敏性</w:t>
            </w:r>
          </w:p>
          <w:p w14:paraId="0508607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EFC3A0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根据Buehler（经皮试验）皮肤致敏性：</w:t>
            </w:r>
          </w:p>
          <w:p w14:paraId="32BBC1A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物种：豚鼠</w:t>
            </w:r>
          </w:p>
          <w:p w14:paraId="7A57859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657D52D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 w14:paraId="2AF09B0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06</w:t>
            </w:r>
          </w:p>
          <w:p w14:paraId="3286E15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254E9130">
            <w:pPr>
              <w:rPr>
                <w:rFonts w:ascii="宋体" w:hAnsi="宋体" w:cs="宋体"/>
                <w:sz w:val="24"/>
              </w:rPr>
            </w:pPr>
          </w:p>
          <w:p w14:paraId="2096AEA9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皮肤致敏性（局部淋巴结试验（LLNA））</w:t>
            </w:r>
          </w:p>
          <w:p w14:paraId="437D7A8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物种：小鼠</w:t>
            </w:r>
          </w:p>
          <w:p w14:paraId="4DEBF96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314DB30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分类：不引起皮肤过敏</w:t>
            </w:r>
          </w:p>
          <w:p w14:paraId="215E1D7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29</w:t>
            </w:r>
          </w:p>
          <w:p w14:paraId="481B728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404D957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3608649D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亚急性，亚慢性和延迟毒性</w:t>
            </w:r>
          </w:p>
          <w:p w14:paraId="7A330FD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D959D6B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2E29C0FA">
            <w:pPr>
              <w:rPr>
                <w:rFonts w:ascii="宋体" w:hAnsi="宋体" w:cs="宋体"/>
                <w:sz w:val="24"/>
              </w:rPr>
            </w:pPr>
          </w:p>
          <w:p w14:paraId="5036173E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</w:t>
            </w:r>
          </w:p>
          <w:p w14:paraId="1935550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544636E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0A7B27F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1B8C068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</w:t>
            </w:r>
          </w:p>
          <w:p w14:paraId="5A92A15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6E0573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0782EF8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05E8CB9C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生殖毒性/致畸形</w:t>
            </w:r>
          </w:p>
          <w:p w14:paraId="4F38F822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1BDD3455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148E552E">
            <w:pPr>
              <w:rPr>
                <w:rFonts w:ascii="宋体" w:hAnsi="宋体" w:cs="宋体"/>
                <w:sz w:val="24"/>
              </w:rPr>
            </w:pPr>
          </w:p>
          <w:p w14:paraId="3DA39E9D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体外遗传毒性</w:t>
            </w:r>
          </w:p>
          <w:p w14:paraId="15CB62D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7AACFD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测试种类：沙门氏菌/微粒体试验（Ames试验）</w:t>
            </w:r>
          </w:p>
          <w:p w14:paraId="7E5857A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 w14:paraId="63B62CB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064ABDB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71</w:t>
            </w:r>
          </w:p>
          <w:p w14:paraId="72A8852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18D99A3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</w:p>
          <w:p w14:paraId="6E9A3CA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测试种类：体外染色体畸变试验</w:t>
            </w:r>
          </w:p>
          <w:p w14:paraId="667FEEF3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代谢活化：有/无</w:t>
            </w:r>
          </w:p>
          <w:p w14:paraId="168A8718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结果：阴性</w:t>
            </w:r>
          </w:p>
          <w:p w14:paraId="28706B54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方法：OECD化学品测试指南4</w:t>
            </w:r>
            <w:r>
              <w:rPr>
                <w:rFonts w:ascii="宋体" w:hAnsi="宋体" w:cs="宋体"/>
                <w:sz w:val="24"/>
              </w:rPr>
              <w:t>73</w:t>
            </w:r>
          </w:p>
          <w:p w14:paraId="4458AF3A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对类似产品研究</w:t>
            </w:r>
          </w:p>
          <w:p w14:paraId="6773A882">
            <w:pPr>
              <w:ind w:left="-840" w:leftChars="-400"/>
              <w:rPr>
                <w:rFonts w:ascii="宋体" w:hAnsi="宋体" w:cs="宋体"/>
                <w:sz w:val="24"/>
              </w:rPr>
            </w:pPr>
          </w:p>
          <w:p w14:paraId="3B4534DC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体内基因毒性</w:t>
            </w:r>
          </w:p>
          <w:p w14:paraId="5B9249CF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65CB7B90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180658CD">
            <w:pPr>
              <w:rPr>
                <w:rFonts w:ascii="宋体" w:hAnsi="宋体" w:cs="宋体"/>
                <w:sz w:val="24"/>
              </w:rPr>
            </w:pPr>
          </w:p>
          <w:p w14:paraId="158E62F7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STOT评估-一次性接触</w:t>
            </w:r>
          </w:p>
          <w:p w14:paraId="4303FB8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4AF6391E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基于现有数据，未满足分类标准。</w:t>
            </w:r>
          </w:p>
          <w:p w14:paraId="2230D277">
            <w:pPr>
              <w:rPr>
                <w:rFonts w:ascii="宋体" w:hAnsi="宋体" w:cs="宋体"/>
                <w:sz w:val="24"/>
              </w:rPr>
            </w:pPr>
          </w:p>
          <w:p w14:paraId="08D5CF67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STOT评估-重复性接触</w:t>
            </w:r>
          </w:p>
          <w:p w14:paraId="4BE1E056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0B65E7C1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2FFAEB8C">
            <w:pPr>
              <w:rPr>
                <w:rFonts w:ascii="宋体" w:hAnsi="宋体" w:cs="宋体"/>
                <w:sz w:val="24"/>
              </w:rPr>
            </w:pPr>
          </w:p>
          <w:p w14:paraId="54F3D836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吸入危害</w:t>
            </w:r>
          </w:p>
          <w:p w14:paraId="2E64E529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7F73696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无数据资料</w:t>
            </w:r>
          </w:p>
          <w:p w14:paraId="5ED8459A">
            <w:pPr>
              <w:rPr>
                <w:rFonts w:ascii="宋体" w:hAnsi="宋体" w:cs="宋体"/>
                <w:sz w:val="24"/>
              </w:rPr>
            </w:pPr>
          </w:p>
          <w:p w14:paraId="479A759D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CMR评估</w:t>
            </w:r>
          </w:p>
          <w:p w14:paraId="3C7DE987">
            <w:pPr>
              <w:ind w:left="960" w:hanging="960" w:hangingChars="4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聚氨酯分散体</w:t>
            </w:r>
          </w:p>
          <w:p w14:paraId="53FC9156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致癌性：无数据资料。</w:t>
            </w:r>
          </w:p>
          <w:p w14:paraId="2E07A663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致突变性：基于现有数据，未满足分类标准。</w:t>
            </w:r>
          </w:p>
          <w:p w14:paraId="31E973EF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致畸性：无数据资料。</w:t>
            </w:r>
          </w:p>
          <w:p w14:paraId="288AD991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生殖毒性/生育力：无数据资料。</w:t>
            </w:r>
          </w:p>
        </w:tc>
      </w:tr>
    </w:tbl>
    <w:p w14:paraId="5377C6C9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3AB9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6F1FC26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2CA79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single" w:color="auto" w:sz="4" w:space="0"/>
              <w:bottom w:val="nil"/>
            </w:tcBorders>
          </w:tcPr>
          <w:p w14:paraId="32B01677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379" w:type="dxa"/>
            <w:tcBorders>
              <w:top w:val="single" w:color="auto" w:sz="4" w:space="0"/>
              <w:bottom w:val="nil"/>
            </w:tcBorders>
          </w:tcPr>
          <w:p w14:paraId="2C7AF6DE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该产品无可用的生态毒理学研究。禁止排入下水道，废水或土壤中。</w:t>
            </w:r>
          </w:p>
        </w:tc>
      </w:tr>
      <w:tr w14:paraId="2D793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nil"/>
            </w:tcBorders>
          </w:tcPr>
          <w:p w14:paraId="2D8EDAD9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nil"/>
            </w:tcBorders>
          </w:tcPr>
          <w:p w14:paraId="3E406F72"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生物降解性：＜6</w:t>
            </w:r>
            <w:r>
              <w:rPr>
                <w:rFonts w:hAnsi="Arial"/>
                <w:sz w:val="24"/>
              </w:rPr>
              <w:t>0</w:t>
            </w:r>
            <w:r>
              <w:rPr>
                <w:rFonts w:hint="eastAsia" w:hAnsi="Arial"/>
                <w:sz w:val="24"/>
              </w:rPr>
              <w:t>%，2</w:t>
            </w:r>
            <w:r>
              <w:rPr>
                <w:rFonts w:hAnsi="Arial"/>
                <w:sz w:val="24"/>
              </w:rPr>
              <w:t>8</w:t>
            </w:r>
            <w:r>
              <w:rPr>
                <w:rFonts w:hint="eastAsia" w:hAnsi="Arial"/>
                <w:sz w:val="24"/>
              </w:rPr>
              <w:t>d，该产品不易生物降解。</w:t>
            </w:r>
          </w:p>
          <w:p w14:paraId="22F96804">
            <w:pPr>
              <w:spacing w:line="300" w:lineRule="auto"/>
              <w:ind w:left="1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方法：OECD化学品测试指南3</w:t>
            </w:r>
            <w:r>
              <w:rPr>
                <w:rFonts w:hAnsi="Arial"/>
                <w:sz w:val="24"/>
              </w:rPr>
              <w:t>01</w:t>
            </w:r>
            <w:r>
              <w:rPr>
                <w:rFonts w:hint="eastAsia" w:hAnsi="Arial"/>
                <w:sz w:val="24"/>
              </w:rPr>
              <w:t>D</w:t>
            </w:r>
          </w:p>
          <w:p w14:paraId="62FD4BF1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对类似产品的研究</w:t>
            </w:r>
          </w:p>
        </w:tc>
      </w:tr>
      <w:tr w14:paraId="53B43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402" w:type="dxa"/>
            <w:tcBorders>
              <w:top w:val="nil"/>
              <w:bottom w:val="single" w:color="auto" w:sz="4" w:space="0"/>
            </w:tcBorders>
          </w:tcPr>
          <w:p w14:paraId="43AF6E3B">
            <w:pPr>
              <w:numPr>
                <w:ilvl w:val="1"/>
                <w:numId w:val="9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379" w:type="dxa"/>
            <w:tcBorders>
              <w:top w:val="nil"/>
              <w:bottom w:val="single" w:color="auto" w:sz="4" w:space="0"/>
            </w:tcBorders>
          </w:tcPr>
          <w:p w14:paraId="04272696"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无数据资料</w:t>
            </w:r>
          </w:p>
        </w:tc>
      </w:tr>
    </w:tbl>
    <w:p w14:paraId="5FDA44FF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4CAB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4DC8C41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5E454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5BBBCDA2">
            <w:pPr>
              <w:spacing w:before="62" w:beforeLines="20" w:after="62" w:afterLines="20"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</w:tc>
      </w:tr>
      <w:tr w14:paraId="612E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</w:tcPr>
          <w:p w14:paraId="0398BF87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02D9B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  <w:tcBorders>
              <w:top w:val="nil"/>
              <w:bottom w:val="single" w:color="auto" w:sz="4" w:space="0"/>
              <w:right w:val="nil"/>
            </w:tcBorders>
          </w:tcPr>
          <w:p w14:paraId="5039FB22"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</w:tcBorders>
          </w:tcPr>
          <w:p w14:paraId="011740AE"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085AC8BC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0B2B93E3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173F08A7"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3E6065F1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79"/>
      </w:tblGrid>
      <w:tr w14:paraId="4E0F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DB4ABA8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14C65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402" w:type="dxa"/>
          </w:tcPr>
          <w:p w14:paraId="4929DF16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379" w:type="dxa"/>
          </w:tcPr>
          <w:p w14:paraId="1FC92F4D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非危险品陆运输方式，符合</w:t>
            </w:r>
            <w:r>
              <w:rPr>
                <w:sz w:val="24"/>
              </w:rPr>
              <w:t>ADG</w:t>
            </w:r>
            <w:r>
              <w:rPr>
                <w:rFonts w:hint="eastAsia" w:hAnsi="Arial"/>
                <w:sz w:val="24"/>
              </w:rPr>
              <w:t>准则。</w:t>
            </w:r>
          </w:p>
        </w:tc>
      </w:tr>
      <w:tr w14:paraId="411A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402" w:type="dxa"/>
          </w:tcPr>
          <w:p w14:paraId="61866A55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  <w:p w14:paraId="308AA3E1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空运</w:t>
            </w:r>
          </w:p>
          <w:p w14:paraId="03275BE7"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379" w:type="dxa"/>
          </w:tcPr>
          <w:p w14:paraId="47B985A8"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非危险品海运方式，符合</w:t>
            </w:r>
            <w:r>
              <w:rPr>
                <w:sz w:val="24"/>
              </w:rPr>
              <w:t>IMDG</w:t>
            </w:r>
            <w:r>
              <w:rPr>
                <w:rFonts w:hint="eastAsia" w:hAnsi="Arial"/>
                <w:sz w:val="24"/>
              </w:rPr>
              <w:t>准则。</w:t>
            </w:r>
          </w:p>
          <w:p w14:paraId="66E84A75">
            <w:pPr>
              <w:spacing w:line="300" w:lineRule="auto"/>
              <w:ind w:left="34" w:right="480"/>
              <w:rPr>
                <w:rFonts w:hAnsi="Arial"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非危险品运输方式，符合</w:t>
            </w:r>
            <w:r>
              <w:rPr>
                <w:sz w:val="24"/>
              </w:rPr>
              <w:t>IATA</w:t>
            </w:r>
            <w:r>
              <w:rPr>
                <w:rFonts w:hint="eastAsia" w:hAnsi="Arial"/>
                <w:sz w:val="24"/>
              </w:rPr>
              <w:t>准则。</w:t>
            </w:r>
          </w:p>
          <w:p w14:paraId="243B9601"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</w:tc>
      </w:tr>
      <w:tr w14:paraId="679F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402" w:type="dxa"/>
            <w:tcBorders>
              <w:bottom w:val="single" w:color="auto" w:sz="4" w:space="0"/>
            </w:tcBorders>
          </w:tcPr>
          <w:p w14:paraId="17E5B786">
            <w:pPr>
              <w:tabs>
                <w:tab w:val="left" w:pos="601"/>
                <w:tab w:val="left" w:pos="780"/>
              </w:tabs>
              <w:spacing w:line="300" w:lineRule="auto"/>
              <w:rPr>
                <w:b/>
                <w:sz w:val="24"/>
              </w:rPr>
            </w:pPr>
          </w:p>
        </w:tc>
        <w:tc>
          <w:tcPr>
            <w:tcW w:w="6379" w:type="dxa"/>
            <w:tcBorders>
              <w:bottom w:val="single" w:color="auto" w:sz="4" w:space="0"/>
            </w:tcBorders>
          </w:tcPr>
          <w:p w14:paraId="07E62D04">
            <w:pPr>
              <w:spacing w:line="300" w:lineRule="auto"/>
              <w:ind w:right="480"/>
              <w:rPr>
                <w:bCs/>
                <w:sz w:val="24"/>
              </w:rPr>
            </w:pPr>
          </w:p>
        </w:tc>
      </w:tr>
    </w:tbl>
    <w:p w14:paraId="3119233C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68D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2E3DCEE9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7DA1B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nil"/>
            </w:tcBorders>
          </w:tcPr>
          <w:p w14:paraId="3346F873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6C6A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761AC9A8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1DAB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3EC25A84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05D13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68019A61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cs="Arial"/>
                <w:bCs/>
                <w:kern w:val="0"/>
                <w:sz w:val="24"/>
              </w:rPr>
              <w:t>344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488C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57ED5A2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16483-2008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086BC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nil"/>
            </w:tcBorders>
          </w:tcPr>
          <w:p w14:paraId="23E5378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13690-2009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7C588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7C8DD9EB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20576- GB20598 </w:t>
            </w:r>
            <w:r>
              <w:rPr>
                <w:rFonts w:hint="eastAsia" w:cs="Arial"/>
                <w:bCs/>
                <w:kern w:val="0"/>
                <w:sz w:val="24"/>
              </w:rPr>
              <w:t>化学品分类，警示标签和警示性说明安全规范</w:t>
            </w:r>
          </w:p>
        </w:tc>
      </w:tr>
    </w:tbl>
    <w:p w14:paraId="7E9A9AB5">
      <w:pPr>
        <w:spacing w:line="300" w:lineRule="auto"/>
        <w:ind w:right="480"/>
        <w:rPr>
          <w:sz w:val="24"/>
        </w:rPr>
      </w:pPr>
    </w:p>
    <w:tbl>
      <w:tblPr>
        <w:tblStyle w:val="5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4F91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9D8B0FA"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0A134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 w14:paraId="4B57BECE"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4CAC61C0">
      <w:pPr>
        <w:spacing w:line="300" w:lineRule="auto"/>
        <w:ind w:right="480"/>
        <w:rPr>
          <w:sz w:val="24"/>
        </w:rPr>
      </w:pPr>
    </w:p>
    <w:p w14:paraId="4C45E37B"/>
    <w:sectPr>
      <w:headerReference r:id="rId3" w:type="default"/>
      <w:footerReference r:id="rId4" w:type="default"/>
      <w:pgSz w:w="11906" w:h="16838"/>
      <w:pgMar w:top="2503" w:right="1077" w:bottom="1418" w:left="1077" w:header="851" w:footer="73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1114B60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09C7A021">
          <w:pPr>
            <w:pStyle w:val="3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2340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7CDB925F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kern w:val="0"/>
              <w:sz w:val="20"/>
              <w:szCs w:val="21"/>
            </w:rPr>
            <w:t>202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4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10</w:t>
          </w:r>
          <w:r>
            <w:rPr>
              <w:kern w:val="0"/>
              <w:sz w:val="20"/>
              <w:szCs w:val="21"/>
            </w:rPr>
            <w:t>/</w:t>
          </w:r>
          <w:r>
            <w:rPr>
              <w:rFonts w:hint="eastAsia"/>
              <w:kern w:val="0"/>
              <w:sz w:val="20"/>
              <w:szCs w:val="21"/>
              <w:lang w:val="en-US" w:eastAsia="zh-CN"/>
            </w:rPr>
            <w:t>10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   </w:t>
          </w:r>
        </w:p>
      </w:tc>
    </w:tr>
    <w:tr w14:paraId="78D7290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2208F816">
          <w:pPr>
            <w:pStyle w:val="3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2938B17B">
          <w:pPr>
            <w:pStyle w:val="3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20C09E97">
    <w:pPr>
      <w:pStyle w:val="3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FC44C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1D14D5AD"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5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6CB92E8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7281804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2340</w:t>
          </w:r>
        </w:p>
      </w:tc>
    </w:tr>
  </w:tbl>
  <w:p w14:paraId="70AB5D26">
    <w:pPr>
      <w:jc w:val="left"/>
      <w:rPr>
        <w:rFonts w:ascii="Arial" w:hAnsi="Arial" w:eastAsia="楷体_GB2312"/>
        <w:color w:val="7F7F7F"/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5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6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7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9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2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wMjQ2Y2VjOWFhZTAwOTVmM2FmNjdjM2EzMTA0M2EifQ=="/>
  </w:docVars>
  <w:rsids>
    <w:rsidRoot w:val="003F27B9"/>
    <w:rsid w:val="00054D63"/>
    <w:rsid w:val="000838B0"/>
    <w:rsid w:val="000A232D"/>
    <w:rsid w:val="000C0199"/>
    <w:rsid w:val="000D08E9"/>
    <w:rsid w:val="000F3AE7"/>
    <w:rsid w:val="001372C0"/>
    <w:rsid w:val="00153234"/>
    <w:rsid w:val="001951AC"/>
    <w:rsid w:val="001A09DF"/>
    <w:rsid w:val="0022163F"/>
    <w:rsid w:val="00221867"/>
    <w:rsid w:val="002517BB"/>
    <w:rsid w:val="00266D33"/>
    <w:rsid w:val="00270828"/>
    <w:rsid w:val="002E1F13"/>
    <w:rsid w:val="00306061"/>
    <w:rsid w:val="00313DEC"/>
    <w:rsid w:val="00322097"/>
    <w:rsid w:val="0034451F"/>
    <w:rsid w:val="003457F9"/>
    <w:rsid w:val="00390B34"/>
    <w:rsid w:val="003C1007"/>
    <w:rsid w:val="003F27B9"/>
    <w:rsid w:val="004148B3"/>
    <w:rsid w:val="00427773"/>
    <w:rsid w:val="00431DDB"/>
    <w:rsid w:val="00456CDB"/>
    <w:rsid w:val="004A3278"/>
    <w:rsid w:val="00522626"/>
    <w:rsid w:val="005862EB"/>
    <w:rsid w:val="005B5135"/>
    <w:rsid w:val="005C42F9"/>
    <w:rsid w:val="005C609F"/>
    <w:rsid w:val="005F347E"/>
    <w:rsid w:val="006321EB"/>
    <w:rsid w:val="00663A83"/>
    <w:rsid w:val="006854CF"/>
    <w:rsid w:val="006861E3"/>
    <w:rsid w:val="00716A60"/>
    <w:rsid w:val="0071716A"/>
    <w:rsid w:val="00754F1F"/>
    <w:rsid w:val="007C493E"/>
    <w:rsid w:val="007D6FBC"/>
    <w:rsid w:val="007E4015"/>
    <w:rsid w:val="007F1E27"/>
    <w:rsid w:val="00853404"/>
    <w:rsid w:val="00880DD7"/>
    <w:rsid w:val="00887769"/>
    <w:rsid w:val="008B3B60"/>
    <w:rsid w:val="008B4F63"/>
    <w:rsid w:val="008C4A6C"/>
    <w:rsid w:val="008D3B67"/>
    <w:rsid w:val="009073AE"/>
    <w:rsid w:val="0092218A"/>
    <w:rsid w:val="00937D50"/>
    <w:rsid w:val="00943252"/>
    <w:rsid w:val="009761AC"/>
    <w:rsid w:val="009D4089"/>
    <w:rsid w:val="009F52FA"/>
    <w:rsid w:val="00A21619"/>
    <w:rsid w:val="00A26D98"/>
    <w:rsid w:val="00A902B6"/>
    <w:rsid w:val="00AB04AA"/>
    <w:rsid w:val="00AB135A"/>
    <w:rsid w:val="00AB7498"/>
    <w:rsid w:val="00AE3B0D"/>
    <w:rsid w:val="00B20B21"/>
    <w:rsid w:val="00B26FBE"/>
    <w:rsid w:val="00B500B7"/>
    <w:rsid w:val="00B55117"/>
    <w:rsid w:val="00BA1097"/>
    <w:rsid w:val="00BA6ABB"/>
    <w:rsid w:val="00BE10CE"/>
    <w:rsid w:val="00C45C80"/>
    <w:rsid w:val="00C76047"/>
    <w:rsid w:val="00C7667B"/>
    <w:rsid w:val="00CD6053"/>
    <w:rsid w:val="00D13E1C"/>
    <w:rsid w:val="00D32CC2"/>
    <w:rsid w:val="00D42F7A"/>
    <w:rsid w:val="00D75E1E"/>
    <w:rsid w:val="00DA78A9"/>
    <w:rsid w:val="00DB72E1"/>
    <w:rsid w:val="00E34CDB"/>
    <w:rsid w:val="00E52233"/>
    <w:rsid w:val="00E54455"/>
    <w:rsid w:val="00E87E33"/>
    <w:rsid w:val="00E953E7"/>
    <w:rsid w:val="00F60215"/>
    <w:rsid w:val="00F6692C"/>
    <w:rsid w:val="00F9634F"/>
    <w:rsid w:val="00FE5278"/>
    <w:rsid w:val="01CC46A2"/>
    <w:rsid w:val="07A46C3D"/>
    <w:rsid w:val="08637FFF"/>
    <w:rsid w:val="0A740DF3"/>
    <w:rsid w:val="0B600B53"/>
    <w:rsid w:val="0EC50AAB"/>
    <w:rsid w:val="0FD92674"/>
    <w:rsid w:val="16517144"/>
    <w:rsid w:val="1B6325AC"/>
    <w:rsid w:val="1C054B1F"/>
    <w:rsid w:val="22205541"/>
    <w:rsid w:val="22230786"/>
    <w:rsid w:val="243C0D49"/>
    <w:rsid w:val="26B95EC4"/>
    <w:rsid w:val="2A0440C7"/>
    <w:rsid w:val="2B571BE7"/>
    <w:rsid w:val="2DB26AF5"/>
    <w:rsid w:val="2DC636C8"/>
    <w:rsid w:val="3BB62EE3"/>
    <w:rsid w:val="3ECF7028"/>
    <w:rsid w:val="436C5AEA"/>
    <w:rsid w:val="4960490F"/>
    <w:rsid w:val="4CF260A7"/>
    <w:rsid w:val="4DB4181A"/>
    <w:rsid w:val="4EAB53B5"/>
    <w:rsid w:val="50CF7E09"/>
    <w:rsid w:val="558C5584"/>
    <w:rsid w:val="572702C5"/>
    <w:rsid w:val="58276598"/>
    <w:rsid w:val="58D72B4E"/>
    <w:rsid w:val="59723028"/>
    <w:rsid w:val="5AF02A7D"/>
    <w:rsid w:val="5D797325"/>
    <w:rsid w:val="5ED36ACB"/>
    <w:rsid w:val="5FE56E4E"/>
    <w:rsid w:val="601E51B9"/>
    <w:rsid w:val="605877C9"/>
    <w:rsid w:val="6ADE4F3B"/>
    <w:rsid w:val="6C943D9F"/>
    <w:rsid w:val="6D1774EE"/>
    <w:rsid w:val="6F524E6B"/>
    <w:rsid w:val="6FAE7D8E"/>
    <w:rsid w:val="70634D55"/>
    <w:rsid w:val="74F13C64"/>
    <w:rsid w:val="75C46A28"/>
    <w:rsid w:val="76D73271"/>
    <w:rsid w:val="78F9438C"/>
    <w:rsid w:val="7A3045C8"/>
    <w:rsid w:val="7D8737AD"/>
    <w:rsid w:val="7D9343B6"/>
    <w:rsid w:val="7FDF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semiHidden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2529</Words>
  <Characters>2859</Characters>
  <Lines>24</Lines>
  <Paragraphs>6</Paragraphs>
  <TotalTime>3</TotalTime>
  <ScaleCrop>false</ScaleCrop>
  <LinksUpToDate>false</LinksUpToDate>
  <CharactersWithSpaces>2983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2017-04-19T01:45:00Z</dcterms:created>
  <dc:creator>Windows 用户</dc:creator>
  <cp:lastModifiedBy>狮子座的兔子</cp:lastModifiedBy>
  <cp:lastPrinted>2021-08-14T10:03:00Z</cp:lastPrinted>
  <dcterms:modified xsi:type="dcterms:W3CDTF">2025-01-07T06:55:46Z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50992370F0D04A3F94A7709190F62A54</vt:lpwstr>
  </property>
  <property fmtid="{D5CDD505-2E9C-101B-9397-08002B2CF9AE}" pid="4" name="KSOTemplateDocerSaveRecord">
    <vt:lpwstr>eyJoZGlkIjoiMzcwMjQ2Y2VjOWFhZTAwOTVmM2FmNjdjM2EzMTA0M2EiLCJ1c2VySWQiOiI5MTI3NTMxMjQifQ==</vt:lpwstr>
  </property>
</Properties>
</file>