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2"/>
        <w:gridCol w:w="6249"/>
      </w:tblGrid>
      <w:tr w14:paraId="1BD71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 w14:paraId="54C3B606">
            <w:pPr>
              <w:spacing w:line="300" w:lineRule="auto"/>
              <w:ind w:right="480" w:firstLine="118" w:firstLineChars="4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v</w:t>
            </w: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 w14:paraId="516F0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32" w:type="dxa"/>
            <w:tcBorders>
              <w:bottom w:val="nil"/>
              <w:right w:val="nil"/>
            </w:tcBorders>
          </w:tcPr>
          <w:p w14:paraId="24283253"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49" w:type="dxa"/>
            <w:tcBorders>
              <w:left w:val="nil"/>
              <w:bottom w:val="nil"/>
            </w:tcBorders>
            <w:vAlign w:val="center"/>
          </w:tcPr>
          <w:p w14:paraId="46F065CA">
            <w:pPr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PU-</w:t>
            </w:r>
            <w:r>
              <w:rPr>
                <w:rFonts w:hint="eastAsia"/>
                <w:sz w:val="24"/>
                <w:lang w:val="en-US" w:eastAsia="zh-CN"/>
              </w:rPr>
              <w:t>2341E</w:t>
            </w:r>
          </w:p>
        </w:tc>
      </w:tr>
      <w:tr w14:paraId="6527F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32" w:type="dxa"/>
            <w:tcBorders>
              <w:top w:val="nil"/>
              <w:bottom w:val="nil"/>
              <w:right w:val="nil"/>
            </w:tcBorders>
          </w:tcPr>
          <w:p w14:paraId="08E71B5F"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</w:tcBorders>
          </w:tcPr>
          <w:p w14:paraId="18223991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聚氨酯分散体</w:t>
            </w:r>
          </w:p>
        </w:tc>
      </w:tr>
      <w:tr w14:paraId="59828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32" w:type="dxa"/>
            <w:tcBorders>
              <w:top w:val="nil"/>
              <w:bottom w:val="nil"/>
              <w:right w:val="nil"/>
            </w:tcBorders>
          </w:tcPr>
          <w:p w14:paraId="0B11988E"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</w:tcBorders>
          </w:tcPr>
          <w:p w14:paraId="7638F4E0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聚氨酯分散体</w:t>
            </w:r>
          </w:p>
        </w:tc>
      </w:tr>
      <w:tr w14:paraId="246D4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32" w:type="dxa"/>
            <w:tcBorders>
              <w:top w:val="nil"/>
              <w:bottom w:val="nil"/>
              <w:right w:val="nil"/>
            </w:tcBorders>
          </w:tcPr>
          <w:p w14:paraId="01280176">
            <w:pPr>
              <w:numPr>
                <w:ilvl w:val="1"/>
                <w:numId w:val="1"/>
              </w:numPr>
              <w:tabs>
                <w:tab w:val="left" w:pos="0"/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产品使用建议和使用限制：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</w:tcBorders>
          </w:tcPr>
          <w:p w14:paraId="3B2CA1E5">
            <w:pPr>
              <w:spacing w:line="300" w:lineRule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油墨</w:t>
            </w:r>
          </w:p>
        </w:tc>
      </w:tr>
      <w:tr w14:paraId="50096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32" w:type="dxa"/>
            <w:tcBorders>
              <w:top w:val="nil"/>
              <w:bottom w:val="nil"/>
              <w:right w:val="nil"/>
            </w:tcBorders>
          </w:tcPr>
          <w:p w14:paraId="1063F643"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</w:tcBorders>
            <w:vAlign w:val="center"/>
          </w:tcPr>
          <w:p w14:paraId="34168F5B">
            <w:pPr>
              <w:spacing w:line="300" w:lineRule="auto"/>
              <w:rPr>
                <w:sz w:val="24"/>
              </w:rPr>
            </w:pPr>
          </w:p>
        </w:tc>
      </w:tr>
      <w:tr w14:paraId="1A6F6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32" w:type="dxa"/>
            <w:tcBorders>
              <w:top w:val="nil"/>
              <w:bottom w:val="nil"/>
              <w:right w:val="nil"/>
            </w:tcBorders>
          </w:tcPr>
          <w:p w14:paraId="68CCDC42">
            <w:pPr>
              <w:tabs>
                <w:tab w:val="left" w:pos="459"/>
              </w:tabs>
              <w:spacing w:line="300" w:lineRule="auto"/>
              <w:ind w:left="458" w:leftChars="218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</w:tcBorders>
            <w:vAlign w:val="center"/>
          </w:tcPr>
          <w:p w14:paraId="3BD36661">
            <w:pPr>
              <w:spacing w:line="300" w:lineRule="auto"/>
              <w:rPr>
                <w:rFonts w:cs="宋体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广州冠志新材料科技有限公司</w:t>
            </w:r>
          </w:p>
        </w:tc>
      </w:tr>
      <w:tr w14:paraId="42B32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32" w:type="dxa"/>
            <w:tcBorders>
              <w:top w:val="nil"/>
              <w:bottom w:val="nil"/>
              <w:right w:val="nil"/>
            </w:tcBorders>
          </w:tcPr>
          <w:p w14:paraId="193EE276">
            <w:pPr>
              <w:tabs>
                <w:tab w:val="left" w:pos="459"/>
              </w:tabs>
              <w:spacing w:line="300" w:lineRule="auto"/>
              <w:ind w:left="456" w:leftChars="217" w:firstLine="2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</w:tcBorders>
            <w:vAlign w:val="center"/>
          </w:tcPr>
          <w:p w14:paraId="7FD7DD91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广州市萝岗区科学城掬泉路3号广州国际企业孵化器A区1106室</w:t>
            </w:r>
          </w:p>
        </w:tc>
      </w:tr>
      <w:tr w14:paraId="325FE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32" w:type="dxa"/>
            <w:tcBorders>
              <w:top w:val="nil"/>
              <w:bottom w:val="nil"/>
              <w:right w:val="nil"/>
            </w:tcBorders>
          </w:tcPr>
          <w:p w14:paraId="2F450CE7">
            <w:pPr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</w:tcBorders>
            <w:vAlign w:val="center"/>
          </w:tcPr>
          <w:p w14:paraId="60B18127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>82567990</w:t>
            </w:r>
          </w:p>
        </w:tc>
      </w:tr>
      <w:tr w14:paraId="26C27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32" w:type="dxa"/>
            <w:tcBorders>
              <w:top w:val="nil"/>
              <w:bottom w:val="single" w:color="auto" w:sz="4" w:space="0"/>
              <w:right w:val="nil"/>
            </w:tcBorders>
          </w:tcPr>
          <w:p w14:paraId="5D939341">
            <w:pPr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49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 w14:paraId="4051AE83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 xml:space="preserve">32214789   </w:t>
            </w:r>
          </w:p>
        </w:tc>
      </w:tr>
    </w:tbl>
    <w:p w14:paraId="641081D7"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6C63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shd w:val="clear" w:color="auto" w:fill="D9D9D9"/>
          </w:tcPr>
          <w:p w14:paraId="7FA7CFA3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rFonts w:hint="eastAsia" w:hAnsi="Arial"/>
                <w:b/>
                <w:sz w:val="24"/>
              </w:rPr>
              <w:t>危险性概述</w:t>
            </w:r>
          </w:p>
        </w:tc>
      </w:tr>
      <w:tr w14:paraId="238C0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9781" w:type="dxa"/>
          </w:tcPr>
          <w:p w14:paraId="7C5D4C4B">
            <w:pPr>
              <w:pStyle w:val="11"/>
              <w:autoSpaceDE w:val="0"/>
              <w:autoSpaceDN w:val="0"/>
              <w:adjustRightInd w:val="0"/>
              <w:spacing w:line="300" w:lineRule="auto"/>
              <w:ind w:left="420" w:firstLine="0" w:firstLineChars="0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物质或混合物分类</w:t>
            </w:r>
          </w:p>
          <w:p w14:paraId="449760E4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2.</w:t>
            </w: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 xml:space="preserve"> 物质或混合物的分类</w:t>
            </w:r>
          </w:p>
          <w:p w14:paraId="6525E072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GHS危险性类别:</w:t>
            </w:r>
          </w:p>
          <w:p w14:paraId="0AB0EA61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根据GHS不属于危害化学品</w:t>
            </w:r>
          </w:p>
          <w:p w14:paraId="0DD61195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2.2 标签要素</w:t>
            </w:r>
          </w:p>
          <w:p w14:paraId="0798BF0C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GHS-象形图 </w:t>
            </w:r>
          </w:p>
          <w:p w14:paraId="6643AF4E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根据GHS不属于危害化学品</w:t>
            </w:r>
          </w:p>
          <w:p w14:paraId="4B756975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2.3 其他危险 无适用资料。</w:t>
            </w:r>
          </w:p>
        </w:tc>
      </w:tr>
    </w:tbl>
    <w:p w14:paraId="79D2D00C">
      <w:pPr>
        <w:spacing w:line="300" w:lineRule="auto"/>
        <w:ind w:right="480"/>
        <w:rPr>
          <w:sz w:val="24"/>
        </w:rPr>
      </w:pPr>
    </w:p>
    <w:p w14:paraId="07A538F0"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02"/>
        <w:gridCol w:w="2770"/>
        <w:gridCol w:w="3109"/>
      </w:tblGrid>
      <w:tr w14:paraId="2DE73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</w:tcPr>
          <w:p w14:paraId="0781D212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 w14:paraId="4C2B9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902" w:type="dxa"/>
            <w:tcBorders>
              <w:bottom w:val="nil"/>
              <w:right w:val="nil"/>
            </w:tcBorders>
          </w:tcPr>
          <w:p w14:paraId="5357148D"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5879" w:type="dxa"/>
            <w:gridSpan w:val="2"/>
            <w:tcBorders>
              <w:left w:val="nil"/>
              <w:bottom w:val="nil"/>
            </w:tcBorders>
          </w:tcPr>
          <w:p w14:paraId="2B781ACD">
            <w:pPr>
              <w:spacing w:line="300" w:lineRule="auto"/>
              <w:ind w:right="480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混合物</w:t>
            </w:r>
          </w:p>
        </w:tc>
      </w:tr>
      <w:tr w14:paraId="4CBD2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902" w:type="dxa"/>
            <w:tcBorders>
              <w:top w:val="nil"/>
              <w:bottom w:val="nil"/>
              <w:right w:val="nil"/>
            </w:tcBorders>
          </w:tcPr>
          <w:p w14:paraId="573B12EF"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20834661">
            <w:pPr>
              <w:spacing w:line="300" w:lineRule="auto"/>
              <w:ind w:right="34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nil"/>
              <w:left w:val="nil"/>
              <w:bottom w:val="nil"/>
            </w:tcBorders>
          </w:tcPr>
          <w:p w14:paraId="447B2E91">
            <w:pPr>
              <w:spacing w:line="300" w:lineRule="auto"/>
              <w:ind w:right="34"/>
              <w:rPr>
                <w:b/>
                <w:sz w:val="24"/>
              </w:rPr>
            </w:pPr>
          </w:p>
        </w:tc>
      </w:tr>
      <w:tr w14:paraId="0E985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902" w:type="dxa"/>
            <w:tcBorders>
              <w:top w:val="nil"/>
              <w:bottom w:val="nil"/>
              <w:right w:val="nil"/>
            </w:tcBorders>
          </w:tcPr>
          <w:p w14:paraId="37C6AB41">
            <w:pPr>
              <w:spacing w:line="300" w:lineRule="auto"/>
              <w:ind w:left="459" w:right="34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48E0EF5B">
            <w:pPr>
              <w:spacing w:line="300" w:lineRule="auto"/>
              <w:ind w:right="480" w:firstLine="720" w:firstLineChars="300"/>
              <w:rPr>
                <w:sz w:val="24"/>
                <w:u w:val="single"/>
              </w:rPr>
            </w:pPr>
            <w:r>
              <w:rPr>
                <w:sz w:val="24"/>
                <w:u w:val="single"/>
              </w:rPr>
              <w:t>CAS</w:t>
            </w:r>
            <w:r>
              <w:rPr>
                <w:rFonts w:hint="eastAsia"/>
                <w:sz w:val="24"/>
                <w:u w:val="single"/>
              </w:rPr>
              <w:t>编号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</w:tcBorders>
          </w:tcPr>
          <w:p w14:paraId="21A0965D">
            <w:pPr>
              <w:spacing w:line="300" w:lineRule="auto"/>
              <w:ind w:right="480"/>
              <w:jc w:val="center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%</w:t>
            </w:r>
            <w:r>
              <w:rPr>
                <w:rFonts w:hint="eastAsia" w:hAnsi="Arial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w/w</w:t>
            </w:r>
            <w:r>
              <w:rPr>
                <w:rFonts w:hint="eastAsia" w:hAnsi="Arial"/>
                <w:sz w:val="24"/>
                <w:u w:val="single"/>
              </w:rPr>
              <w:t>）</w:t>
            </w:r>
          </w:p>
        </w:tc>
      </w:tr>
      <w:tr w14:paraId="3564F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902" w:type="dxa"/>
            <w:tcBorders>
              <w:top w:val="nil"/>
              <w:bottom w:val="single" w:color="auto" w:sz="4" w:space="0"/>
              <w:right w:val="nil"/>
            </w:tcBorders>
          </w:tcPr>
          <w:p w14:paraId="2BBC1104"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聚氨酯聚合物</w:t>
            </w:r>
          </w:p>
          <w:p w14:paraId="2B7130A4"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水</w:t>
            </w:r>
          </w:p>
          <w:p w14:paraId="0CC762F5">
            <w:pPr>
              <w:spacing w:line="300" w:lineRule="auto"/>
              <w:ind w:right="48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三乙</w:t>
            </w:r>
            <w:r>
              <w:rPr>
                <w:rFonts w:hint="eastAsia"/>
                <w:sz w:val="24"/>
              </w:rPr>
              <w:t>胺</w:t>
            </w:r>
          </w:p>
        </w:tc>
        <w:tc>
          <w:tcPr>
            <w:tcW w:w="277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08F2A09B"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商业机密</w:t>
            </w:r>
          </w:p>
          <w:p w14:paraId="644F93BA"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7732-18-5</w:t>
            </w:r>
          </w:p>
          <w:p w14:paraId="677CFBBD">
            <w:pPr>
              <w:spacing w:line="300" w:lineRule="auto"/>
              <w:ind w:right="48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121-44-8</w:t>
            </w:r>
          </w:p>
        </w:tc>
        <w:tc>
          <w:tcPr>
            <w:tcW w:w="3109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 w14:paraId="3E591EE2">
            <w:pPr>
              <w:spacing w:line="300" w:lineRule="auto"/>
              <w:ind w:right="48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30-40</w:t>
            </w:r>
          </w:p>
          <w:p w14:paraId="6AC35071">
            <w:pPr>
              <w:spacing w:line="300" w:lineRule="auto"/>
              <w:ind w:right="48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60-70</w:t>
            </w:r>
          </w:p>
          <w:p w14:paraId="70C879F4">
            <w:pPr>
              <w:spacing w:line="300" w:lineRule="auto"/>
              <w:ind w:right="480"/>
              <w:jc w:val="center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0.5-2</w:t>
            </w:r>
          </w:p>
        </w:tc>
      </w:tr>
    </w:tbl>
    <w:p w14:paraId="5EB3B3A6">
      <w:pPr>
        <w:spacing w:line="300" w:lineRule="auto"/>
        <w:ind w:right="480"/>
        <w:rPr>
          <w:sz w:val="24"/>
        </w:rPr>
      </w:pPr>
    </w:p>
    <w:tbl>
      <w:tblPr>
        <w:tblStyle w:val="5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9"/>
        <w:gridCol w:w="6676"/>
      </w:tblGrid>
      <w:tr w14:paraId="2819A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09715E89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 w14:paraId="10B5F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119" w:type="dxa"/>
            <w:tcBorders>
              <w:top w:val="single" w:color="auto" w:sz="4" w:space="0"/>
              <w:bottom w:val="nil"/>
              <w:right w:val="nil"/>
            </w:tcBorders>
          </w:tcPr>
          <w:p w14:paraId="40210055">
            <w:pPr>
              <w:numPr>
                <w:ilvl w:val="0"/>
                <w:numId w:val="3"/>
              </w:num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676" w:type="dxa"/>
            <w:tcBorders>
              <w:top w:val="single" w:color="auto" w:sz="4" w:space="0"/>
              <w:left w:val="nil"/>
              <w:bottom w:val="nil"/>
            </w:tcBorders>
          </w:tcPr>
          <w:p w14:paraId="3FCD9126">
            <w:p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立即脱掉所有被污染的衣物。</w:t>
            </w:r>
          </w:p>
        </w:tc>
      </w:tr>
      <w:tr w14:paraId="601C6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119" w:type="dxa"/>
            <w:tcBorders>
              <w:top w:val="nil"/>
              <w:bottom w:val="nil"/>
              <w:right w:val="nil"/>
            </w:tcBorders>
          </w:tcPr>
          <w:p w14:paraId="01A82AE4"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676" w:type="dxa"/>
            <w:tcBorders>
              <w:top w:val="nil"/>
              <w:left w:val="nil"/>
              <w:bottom w:val="nil"/>
            </w:tcBorders>
          </w:tcPr>
          <w:p w14:paraId="73767C6C">
            <w:pPr>
              <w:spacing w:line="300" w:lineRule="auto"/>
              <w:ind w:left="47" w:leftChars="19" w:hanging="7" w:hangingChars="3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禁止催吐，须就医。</w:t>
            </w:r>
          </w:p>
        </w:tc>
      </w:tr>
      <w:tr w14:paraId="7B964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119" w:type="dxa"/>
            <w:tcBorders>
              <w:top w:val="nil"/>
              <w:bottom w:val="nil"/>
              <w:right w:val="nil"/>
            </w:tcBorders>
          </w:tcPr>
          <w:p w14:paraId="241F303F"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676" w:type="dxa"/>
            <w:tcBorders>
              <w:top w:val="nil"/>
              <w:left w:val="nil"/>
              <w:bottom w:val="nil"/>
            </w:tcBorders>
          </w:tcPr>
          <w:p w14:paraId="6BAE6F54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撑开眼睑，用温水长时间冲洗（至少</w:t>
            </w:r>
            <w:r>
              <w:rPr>
                <w:sz w:val="24"/>
              </w:rPr>
              <w:t>10</w:t>
            </w:r>
            <w:r>
              <w:rPr>
                <w:rFonts w:hint="eastAsia"/>
                <w:sz w:val="24"/>
              </w:rPr>
              <w:t>分钟），就诊眼科医生。</w:t>
            </w:r>
          </w:p>
        </w:tc>
      </w:tr>
      <w:tr w14:paraId="367FD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119" w:type="dxa"/>
            <w:tcBorders>
              <w:top w:val="nil"/>
              <w:bottom w:val="nil"/>
              <w:right w:val="nil"/>
            </w:tcBorders>
          </w:tcPr>
          <w:p w14:paraId="20395C1D"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676" w:type="dxa"/>
            <w:tcBorders>
              <w:top w:val="nil"/>
              <w:left w:val="nil"/>
              <w:bottom w:val="nil"/>
            </w:tcBorders>
          </w:tcPr>
          <w:p w14:paraId="106D34D6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立即用肥皂和大量的水冲洗。若发生皮肤反应，就医。</w:t>
            </w:r>
          </w:p>
        </w:tc>
      </w:tr>
      <w:tr w14:paraId="74EBE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119" w:type="dxa"/>
            <w:tcBorders>
              <w:top w:val="nil"/>
              <w:bottom w:val="single" w:color="auto" w:sz="4" w:space="0"/>
              <w:right w:val="nil"/>
            </w:tcBorders>
          </w:tcPr>
          <w:p w14:paraId="6E77B54B"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676" w:type="dxa"/>
            <w:tcBorders>
              <w:top w:val="nil"/>
              <w:left w:val="nil"/>
              <w:bottom w:val="single" w:color="auto" w:sz="4" w:space="0"/>
            </w:tcBorders>
          </w:tcPr>
          <w:p w14:paraId="12BBFE2F">
            <w:pPr>
              <w:spacing w:line="300" w:lineRule="auto"/>
              <w:ind w:left="47" w:leftChars="19" w:hanging="7" w:hangingChars="3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若刺激呼吸道，就医。</w:t>
            </w:r>
          </w:p>
        </w:tc>
      </w:tr>
    </w:tbl>
    <w:p w14:paraId="344E702D"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 w14:paraId="35DAD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F6A897C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 w14:paraId="29BAA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402" w:type="dxa"/>
            <w:tcBorders>
              <w:top w:val="single" w:color="auto" w:sz="4" w:space="0"/>
            </w:tcBorders>
          </w:tcPr>
          <w:p w14:paraId="2C8DD3BA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379" w:type="dxa"/>
            <w:tcBorders>
              <w:top w:val="single" w:color="auto" w:sz="4" w:space="0"/>
            </w:tcBorders>
          </w:tcPr>
          <w:p w14:paraId="1437CC37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二氧化碳（</w:t>
            </w:r>
            <w:r>
              <w:rPr>
                <w:sz w:val="24"/>
              </w:rPr>
              <w:t>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rFonts w:hint="eastAsia"/>
                <w:sz w:val="24"/>
              </w:rPr>
              <w:t>），泡沫，灭火粉末，大火时应用喷洒水。</w:t>
            </w:r>
          </w:p>
        </w:tc>
      </w:tr>
      <w:tr w14:paraId="699DC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402" w:type="dxa"/>
          </w:tcPr>
          <w:p w14:paraId="208D0A89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379" w:type="dxa"/>
          </w:tcPr>
          <w:p w14:paraId="51E4C812">
            <w:pPr>
              <w:tabs>
                <w:tab w:val="left" w:pos="-108"/>
              </w:tabs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高流量的水喷射</w:t>
            </w:r>
          </w:p>
        </w:tc>
      </w:tr>
      <w:tr w14:paraId="24791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</w:tcPr>
          <w:p w14:paraId="45527219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379" w:type="dxa"/>
          </w:tcPr>
          <w:p w14:paraId="3F566E22">
            <w:pPr>
              <w:spacing w:line="300" w:lineRule="auto"/>
              <w:ind w:left="34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燃烧时释放一氧化碳、二氧化碳、氮氧化物和少量的氰化氢</w:t>
            </w:r>
          </w:p>
        </w:tc>
      </w:tr>
      <w:tr w14:paraId="73818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3402" w:type="dxa"/>
          </w:tcPr>
          <w:p w14:paraId="37C750EE">
            <w:pPr>
              <w:spacing w:line="300" w:lineRule="auto"/>
              <w:rPr>
                <w:b/>
                <w:sz w:val="24"/>
              </w:rPr>
            </w:pPr>
          </w:p>
        </w:tc>
        <w:tc>
          <w:tcPr>
            <w:tcW w:w="6379" w:type="dxa"/>
          </w:tcPr>
          <w:p w14:paraId="26491A24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在着火或爆炸情况下，不要吸进烟尘。</w:t>
            </w:r>
          </w:p>
        </w:tc>
      </w:tr>
      <w:tr w14:paraId="7D28D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402" w:type="dxa"/>
            <w:tcBorders>
              <w:bottom w:val="single" w:color="auto" w:sz="4" w:space="0"/>
            </w:tcBorders>
          </w:tcPr>
          <w:p w14:paraId="0E836FF5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379" w:type="dxa"/>
            <w:tcBorders>
              <w:bottom w:val="single" w:color="auto" w:sz="4" w:space="0"/>
            </w:tcBorders>
          </w:tcPr>
          <w:p w14:paraId="2959CAC9">
            <w:pPr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消防人员必须佩戴自供气式呼吸器。</w:t>
            </w:r>
          </w:p>
          <w:p w14:paraId="0AD9E699">
            <w:pPr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禁止污染的灭火用水流入土壤，地下水或地表水中。</w:t>
            </w:r>
          </w:p>
        </w:tc>
      </w:tr>
    </w:tbl>
    <w:p w14:paraId="0005A251"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6421"/>
      </w:tblGrid>
      <w:tr w14:paraId="35553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806BA5A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 w14:paraId="6A61F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3360" w:type="dxa"/>
            <w:tcBorders>
              <w:top w:val="single" w:color="auto" w:sz="4" w:space="0"/>
            </w:tcBorders>
          </w:tcPr>
          <w:p w14:paraId="6B2893AD"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421" w:type="dxa"/>
            <w:tcBorders>
              <w:top w:val="single" w:color="auto" w:sz="4" w:space="0"/>
            </w:tcBorders>
          </w:tcPr>
          <w:p w14:paraId="39A603EB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戴防护设备。远离火源。</w:t>
            </w:r>
          </w:p>
          <w:p w14:paraId="3B197320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确保充分的通风</w:t>
            </w:r>
            <w:r>
              <w:rPr>
                <w:sz w:val="24"/>
              </w:rPr>
              <w:t>/</w:t>
            </w:r>
            <w:r>
              <w:rPr>
                <w:rFonts w:hint="eastAsia"/>
                <w:sz w:val="24"/>
              </w:rPr>
              <w:t>排气。令未授权人员离开。</w:t>
            </w:r>
          </w:p>
        </w:tc>
      </w:tr>
      <w:tr w14:paraId="27E9B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360" w:type="dxa"/>
          </w:tcPr>
          <w:p w14:paraId="4BE3AF09"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环境保护措施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421" w:type="dxa"/>
          </w:tcPr>
          <w:p w14:paraId="3BA59DF4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禁止排入下水道，废水或土壤中</w:t>
            </w:r>
            <w:r>
              <w:rPr>
                <w:rFonts w:hint="eastAsia"/>
                <w:b/>
                <w:sz w:val="24"/>
              </w:rPr>
              <w:t>。</w:t>
            </w:r>
          </w:p>
        </w:tc>
      </w:tr>
      <w:tr w14:paraId="6284C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360" w:type="dxa"/>
            <w:tcBorders>
              <w:bottom w:val="single" w:color="auto" w:sz="4" w:space="0"/>
            </w:tcBorders>
          </w:tcPr>
          <w:p w14:paraId="6DFC28E8"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421" w:type="dxa"/>
            <w:tcBorders>
              <w:bottom w:val="single" w:color="auto" w:sz="4" w:space="0"/>
            </w:tcBorders>
          </w:tcPr>
          <w:p w14:paraId="7439F8A8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用化学品吸收材料或必要时用干沙收集，并储存与密闭容器中。</w:t>
            </w:r>
          </w:p>
        </w:tc>
      </w:tr>
    </w:tbl>
    <w:p w14:paraId="5423BAE0">
      <w:pPr>
        <w:spacing w:line="300" w:lineRule="auto"/>
        <w:ind w:right="480"/>
        <w:rPr>
          <w:b/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6421"/>
      </w:tblGrid>
      <w:tr w14:paraId="3E7D5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033F469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 w14:paraId="3203B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360" w:type="dxa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2C3160BA"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421" w:type="dxa"/>
            <w:tcBorders>
              <w:top w:val="single" w:color="auto" w:sz="4" w:space="0"/>
              <w:left w:val="nil"/>
              <w:bottom w:val="single" w:color="auto" w:sz="4" w:space="0"/>
            </w:tcBorders>
          </w:tcPr>
          <w:p w14:paraId="677F9904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操作时遵守化学品的常见预防措施。避免与皮肤和眼睛接触。</w:t>
            </w:r>
          </w:p>
          <w:p w14:paraId="7F4C7292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远离食物、饮料和烟草。休息以前和工作结束时洗手。将工作服单独存放。</w:t>
            </w:r>
          </w:p>
          <w:p w14:paraId="25A0364F">
            <w:pPr>
              <w:tabs>
                <w:tab w:val="left" w:pos="6129"/>
              </w:tabs>
              <w:autoSpaceDE w:val="0"/>
              <w:autoSpaceDN w:val="0"/>
              <w:adjustRightInd w:val="0"/>
              <w:spacing w:line="300" w:lineRule="auto"/>
              <w:ind w:right="482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更换被污染或浸湿的衣物</w:t>
            </w:r>
          </w:p>
        </w:tc>
      </w:tr>
      <w:tr w14:paraId="16FF9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360" w:type="dxa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0AAE1142"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421" w:type="dxa"/>
            <w:tcBorders>
              <w:top w:val="single" w:color="auto" w:sz="4" w:space="0"/>
              <w:left w:val="nil"/>
              <w:bottom w:val="single" w:color="auto" w:sz="4" w:space="0"/>
            </w:tcBorders>
          </w:tcPr>
          <w:p w14:paraId="10E7BD47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容器保持紧闭，存储在干燥通风处。为保持产品质量，必须遵守我们产品信息表的储存条件。</w:t>
            </w:r>
            <w:r>
              <w:rPr>
                <w:rFonts w:cs="Arial"/>
                <w:kern w:val="0"/>
                <w:sz w:val="24"/>
              </w:rPr>
              <w:t xml:space="preserve"> </w:t>
            </w:r>
          </w:p>
        </w:tc>
      </w:tr>
    </w:tbl>
    <w:p w14:paraId="28A99C1E">
      <w:pPr>
        <w:spacing w:line="300" w:lineRule="auto"/>
        <w:ind w:right="480"/>
        <w:rPr>
          <w:b/>
          <w:sz w:val="24"/>
        </w:rPr>
      </w:pPr>
    </w:p>
    <w:tbl>
      <w:tblPr>
        <w:tblStyle w:val="5"/>
        <w:tblW w:w="986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6500"/>
      </w:tblGrid>
      <w:tr w14:paraId="037B1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0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1EB8ED0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 w14:paraId="2420A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9860" w:type="dxa"/>
            <w:gridSpan w:val="2"/>
            <w:tcBorders>
              <w:top w:val="single" w:color="auto" w:sz="4" w:space="0"/>
              <w:bottom w:val="nil"/>
            </w:tcBorders>
          </w:tcPr>
          <w:p w14:paraId="2A80F524">
            <w:p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8.1</w:t>
            </w:r>
            <w:r>
              <w:rPr>
                <w:rFonts w:hint="eastAsia"/>
                <w:b/>
                <w:sz w:val="24"/>
              </w:rPr>
              <w:t>控制参数</w:t>
            </w:r>
          </w:p>
        </w:tc>
      </w:tr>
      <w:tr w14:paraId="17416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9860" w:type="dxa"/>
            <w:gridSpan w:val="2"/>
            <w:tcBorders>
              <w:top w:val="nil"/>
              <w:bottom w:val="single" w:color="auto" w:sz="4" w:space="0"/>
            </w:tcBorders>
          </w:tcPr>
          <w:p w14:paraId="59777B9B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根据</w:t>
            </w:r>
            <w:r>
              <w:rPr>
                <w:b/>
                <w:sz w:val="24"/>
              </w:rPr>
              <w:t>EC</w:t>
            </w:r>
            <w:r>
              <w:rPr>
                <w:rFonts w:hint="eastAsia"/>
                <w:b/>
                <w:sz w:val="24"/>
              </w:rPr>
              <w:t>指令</w:t>
            </w:r>
            <w:r>
              <w:rPr>
                <w:b/>
                <w:sz w:val="24"/>
              </w:rPr>
              <w:t>2006/121/EG,</w:t>
            </w:r>
            <w:r>
              <w:rPr>
                <w:rFonts w:hint="eastAsia"/>
                <w:b/>
                <w:sz w:val="24"/>
              </w:rPr>
              <w:t>无可用的接触限值信息</w:t>
            </w:r>
          </w:p>
        </w:tc>
      </w:tr>
      <w:tr w14:paraId="4738A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860" w:type="dxa"/>
            <w:gridSpan w:val="2"/>
            <w:tcBorders>
              <w:top w:val="single" w:color="auto" w:sz="4" w:space="0"/>
              <w:bottom w:val="nil"/>
            </w:tcBorders>
          </w:tcPr>
          <w:p w14:paraId="09F902C8">
            <w:p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8.2</w:t>
            </w:r>
            <w:r>
              <w:rPr>
                <w:rFonts w:hint="eastAsia"/>
                <w:b/>
                <w:sz w:val="24"/>
              </w:rPr>
              <w:t>暴露控制</w:t>
            </w:r>
          </w:p>
        </w:tc>
      </w:tr>
      <w:tr w14:paraId="22405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360" w:type="dxa"/>
            <w:tcBorders>
              <w:top w:val="nil"/>
              <w:bottom w:val="nil"/>
              <w:right w:val="nil"/>
            </w:tcBorders>
          </w:tcPr>
          <w:p w14:paraId="13851FC5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</w:tcBorders>
          </w:tcPr>
          <w:p w14:paraId="0051C62C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喷涂过程中要求有呼吸防护设备。</w:t>
            </w:r>
          </w:p>
        </w:tc>
      </w:tr>
      <w:tr w14:paraId="38618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 w14:paraId="2EAEFBDE">
            <w:pPr>
              <w:tabs>
                <w:tab w:val="left" w:pos="3451"/>
              </w:tabs>
              <w:spacing w:line="300" w:lineRule="auto"/>
              <w:ind w:left="3855" w:hanging="3855" w:hangingChars="16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</w:p>
        </w:tc>
      </w:tr>
      <w:tr w14:paraId="142B9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360" w:type="dxa"/>
            <w:tcBorders>
              <w:top w:val="nil"/>
              <w:bottom w:val="nil"/>
              <w:right w:val="nil"/>
            </w:tcBorders>
          </w:tcPr>
          <w:p w14:paraId="1EBA174E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</w:tcBorders>
            <w:vAlign w:val="center"/>
          </w:tcPr>
          <w:p w14:paraId="7F867BA3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cs="Arial"/>
                <w:kern w:val="0"/>
                <w:sz w:val="24"/>
              </w:rPr>
              <w:t>EN 374</w:t>
            </w:r>
          </w:p>
        </w:tc>
      </w:tr>
      <w:tr w14:paraId="004C7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 w14:paraId="3CB52E32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氟化橡胶</w:t>
            </w:r>
            <w:r>
              <w:rPr>
                <w:rFonts w:cs="Arial"/>
                <w:kern w:val="0"/>
                <w:sz w:val="24"/>
              </w:rPr>
              <w:t xml:space="preserve"> –FKM:</w:t>
            </w: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0.4mm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2766B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 w14:paraId="055A4C74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丁基橡胶</w:t>
            </w:r>
            <w:r>
              <w:rPr>
                <w:rFonts w:cs="Arial"/>
                <w:kern w:val="0"/>
                <w:sz w:val="24"/>
              </w:rPr>
              <w:t xml:space="preserve"> –IIR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0FF04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 w14:paraId="62A256CA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丁腈橡胶</w:t>
            </w:r>
            <w:r>
              <w:rPr>
                <w:rFonts w:cs="Arial"/>
                <w:kern w:val="0"/>
                <w:sz w:val="24"/>
              </w:rPr>
              <w:t xml:space="preserve"> – NBR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0.35mm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473DC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</w:trPr>
        <w:tc>
          <w:tcPr>
            <w:tcW w:w="3360" w:type="dxa"/>
            <w:tcBorders>
              <w:top w:val="nil"/>
              <w:bottom w:val="nil"/>
              <w:right w:val="nil"/>
            </w:tcBorders>
          </w:tcPr>
          <w:p w14:paraId="770C4877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</w:tcBorders>
          </w:tcPr>
          <w:p w14:paraId="26A06504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污染的手套应废弃。</w:t>
            </w:r>
          </w:p>
        </w:tc>
      </w:tr>
      <w:tr w14:paraId="3CE2A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3360" w:type="dxa"/>
            <w:tcBorders>
              <w:top w:val="nil"/>
              <w:bottom w:val="nil"/>
              <w:right w:val="nil"/>
            </w:tcBorders>
          </w:tcPr>
          <w:p w14:paraId="2828556B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</w:tcBorders>
          </w:tcPr>
          <w:p w14:paraId="0DECAA79">
            <w:pPr>
              <w:spacing w:line="300" w:lineRule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戴眼罩</w:t>
            </w:r>
            <w:r>
              <w:rPr>
                <w:rFonts w:cs="Arial"/>
                <w:kern w:val="0"/>
                <w:sz w:val="24"/>
              </w:rPr>
              <w:t>/</w:t>
            </w:r>
            <w:r>
              <w:rPr>
                <w:rFonts w:hint="eastAsia" w:hAnsi="Arial" w:cs="Arial"/>
                <w:kern w:val="0"/>
                <w:sz w:val="24"/>
              </w:rPr>
              <w:t>面罩。</w:t>
            </w:r>
          </w:p>
        </w:tc>
      </w:tr>
      <w:tr w14:paraId="0FE88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3360" w:type="dxa"/>
            <w:tcBorders>
              <w:top w:val="nil"/>
              <w:bottom w:val="single" w:color="auto" w:sz="4" w:space="0"/>
              <w:right w:val="nil"/>
            </w:tcBorders>
          </w:tcPr>
          <w:p w14:paraId="15E50D97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500" w:type="dxa"/>
            <w:tcBorders>
              <w:top w:val="nil"/>
              <w:left w:val="nil"/>
              <w:bottom w:val="single" w:color="auto" w:sz="4" w:space="0"/>
            </w:tcBorders>
          </w:tcPr>
          <w:p w14:paraId="06502A26">
            <w:pPr>
              <w:spacing w:line="300" w:lineRule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穿着适当的防护服。</w:t>
            </w:r>
          </w:p>
        </w:tc>
      </w:tr>
    </w:tbl>
    <w:p w14:paraId="29A82BCE">
      <w:pPr>
        <w:spacing w:line="300" w:lineRule="auto"/>
        <w:ind w:right="480"/>
        <w:rPr>
          <w:b/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 w14:paraId="5E63A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2353BB0E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 w14:paraId="047B7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402" w:type="dxa"/>
            <w:tcBorders>
              <w:top w:val="single" w:color="auto" w:sz="4" w:space="0"/>
              <w:bottom w:val="nil"/>
              <w:right w:val="nil"/>
            </w:tcBorders>
          </w:tcPr>
          <w:p w14:paraId="507187B1">
            <w:pPr>
              <w:numPr>
                <w:ilvl w:val="0"/>
                <w:numId w:val="7"/>
              </w:numPr>
              <w:spacing w:line="300" w:lineRule="auto"/>
              <w:ind w:left="732" w:hanging="732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外 观：</w:t>
            </w:r>
            <w:r>
              <w:rPr>
                <w:b/>
                <w:sz w:val="24"/>
              </w:rPr>
              <w:t xml:space="preserve">  </w:t>
            </w:r>
          </w:p>
        </w:tc>
        <w:tc>
          <w:tcPr>
            <w:tcW w:w="6379" w:type="dxa"/>
            <w:tcBorders>
              <w:top w:val="single" w:color="auto" w:sz="4" w:space="0"/>
              <w:left w:val="nil"/>
              <w:bottom w:val="nil"/>
            </w:tcBorders>
            <w:vAlign w:val="center"/>
          </w:tcPr>
          <w:p w14:paraId="41EE714B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乳白</w:t>
            </w:r>
            <w:r>
              <w:rPr>
                <w:rFonts w:hint="eastAsia"/>
                <w:sz w:val="24"/>
              </w:rPr>
              <w:t>至半透明液体</w:t>
            </w:r>
          </w:p>
        </w:tc>
      </w:tr>
      <w:tr w14:paraId="1D883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6116DFFE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嗅觉阀值：</w:t>
            </w:r>
            <w:r>
              <w:rPr>
                <w:b/>
                <w:sz w:val="24"/>
              </w:rPr>
              <w:t xml:space="preserve">    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6246FCC8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5A666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59D8AFDD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pH</w:t>
            </w:r>
            <w:r>
              <w:rPr>
                <w:rFonts w:hint="eastAsia"/>
                <w:b/>
                <w:sz w:val="24"/>
              </w:rPr>
              <w:t>值：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47A7A5FC">
            <w:pPr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6</w:t>
            </w:r>
            <w:r>
              <w:rPr>
                <w:rFonts w:hint="eastAsia"/>
                <w:sz w:val="24"/>
              </w:rPr>
              <w:t>-</w:t>
            </w:r>
            <w:r>
              <w:rPr>
                <w:rFonts w:hint="eastAsia"/>
                <w:sz w:val="24"/>
                <w:lang w:val="en-US" w:eastAsia="zh-CN"/>
              </w:rPr>
              <w:t>9</w:t>
            </w:r>
            <w:r>
              <w:rPr>
                <w:sz w:val="24"/>
              </w:rPr>
              <w:t xml:space="preserve">                                   </w:t>
            </w:r>
          </w:p>
        </w:tc>
      </w:tr>
      <w:tr w14:paraId="7B60A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2805E016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离子性：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4B08D265">
            <w:pPr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阴离子</w:t>
            </w:r>
          </w:p>
        </w:tc>
      </w:tr>
      <w:tr w14:paraId="151A9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43969ECE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初沸点：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0F9D7478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约</w:t>
            </w:r>
            <w:r>
              <w:rPr>
                <w:sz w:val="24"/>
              </w:rPr>
              <w:t>100</w:t>
            </w:r>
            <w:r>
              <w:rPr>
                <w:rFonts w:hint="eastAsia"/>
                <w:sz w:val="24"/>
              </w:rPr>
              <w:t>℃</w:t>
            </w:r>
          </w:p>
        </w:tc>
      </w:tr>
      <w:tr w14:paraId="342F7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4A04D214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闪点：</w:t>
            </w:r>
            <w:r>
              <w:rPr>
                <w:b/>
                <w:sz w:val="24"/>
              </w:rPr>
              <w:t xml:space="preserve">  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1E41BA74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初沸点以下无闪点</w:t>
            </w:r>
          </w:p>
        </w:tc>
      </w:tr>
      <w:tr w14:paraId="73097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2582FC08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蒸发速率：</w:t>
            </w:r>
            <w:r>
              <w:rPr>
                <w:b/>
                <w:sz w:val="24"/>
              </w:rPr>
              <w:t xml:space="preserve">   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06553FF0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5A300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6D409CF5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可燃性（固态、气态）：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07BB7738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 w14:paraId="4BDAB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0B82F424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燃烧值：</w:t>
            </w:r>
            <w:r>
              <w:rPr>
                <w:b/>
                <w:sz w:val="24"/>
              </w:rPr>
              <w:t xml:space="preserve">    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007FCC6E">
            <w:pPr>
              <w:spacing w:line="300" w:lineRule="auto"/>
              <w:ind w:right="34" w:rightChars="16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 w14:paraId="6380F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71A6ECF0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相对蒸气密度：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1AE929B1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79883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6469D8F3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相对密度：</w:t>
            </w:r>
            <w:r>
              <w:rPr>
                <w:b/>
                <w:sz w:val="24"/>
              </w:rPr>
              <w:t xml:space="preserve">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290D5D6B">
            <w:pPr>
              <w:autoSpaceDE w:val="0"/>
              <w:autoSpaceDN w:val="0"/>
              <w:adjustRightInd w:val="0"/>
              <w:spacing w:line="300" w:lineRule="auto"/>
              <w:rPr>
                <w:sz w:val="24"/>
                <w:vertAlign w:val="superscript"/>
              </w:rPr>
            </w:pPr>
            <w:r>
              <w:rPr>
                <w:rFonts w:hint="eastAsia"/>
                <w:sz w:val="24"/>
              </w:rPr>
              <w:t>约1.0</w:t>
            </w:r>
            <w:r>
              <w:rPr>
                <w:rFonts w:hint="eastAsia"/>
                <w:sz w:val="24"/>
                <w:lang w:val="en-US" w:eastAsia="zh-CN"/>
              </w:rPr>
              <w:t>5</w:t>
            </w:r>
            <w:r>
              <w:rPr>
                <w:sz w:val="24"/>
              </w:rPr>
              <w:t>g/cm</w:t>
            </w:r>
            <w:r>
              <w:rPr>
                <w:sz w:val="24"/>
                <w:vertAlign w:val="superscript"/>
              </w:rPr>
              <w:t xml:space="preserve">3                      </w:t>
            </w:r>
          </w:p>
        </w:tc>
      </w:tr>
      <w:tr w14:paraId="62036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39B02262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水溶性：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0D09A2D8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可混溶</w:t>
            </w:r>
          </w:p>
        </w:tc>
      </w:tr>
      <w:tr w14:paraId="56321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1A43DCFB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表面张力：</w:t>
            </w:r>
            <w:r>
              <w:rPr>
                <w:rFonts w:cs="Arial"/>
                <w:kern w:val="0"/>
                <w:sz w:val="24"/>
              </w:rPr>
              <w:t xml:space="preserve">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6E9E89EF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 w14:paraId="5DB57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6452CEC8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辛醇</w:t>
            </w:r>
            <w:r>
              <w:rPr>
                <w:rFonts w:cs="Arial"/>
                <w:b/>
                <w:kern w:val="0"/>
                <w:sz w:val="24"/>
              </w:rPr>
              <w:t>/</w:t>
            </w:r>
            <w:r>
              <w:rPr>
                <w:rFonts w:hint="eastAsia" w:hAnsi="Arial" w:cs="Arial"/>
                <w:b/>
                <w:kern w:val="0"/>
                <w:sz w:val="24"/>
              </w:rPr>
              <w:t>水分配系数的对数值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1E573FC7">
            <w:pPr>
              <w:spacing w:line="300" w:lineRule="auto"/>
              <w:ind w:right="34" w:rightChars="16"/>
              <w:rPr>
                <w:sz w:val="24"/>
                <w:vertAlign w:val="subscript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 w14:paraId="2D473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5C17ECA5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自燃温度：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370500E1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不适用</w:t>
            </w:r>
          </w:p>
        </w:tc>
      </w:tr>
      <w:tr w14:paraId="7D671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single" w:color="auto" w:sz="4" w:space="0"/>
              <w:right w:val="nil"/>
            </w:tcBorders>
          </w:tcPr>
          <w:p w14:paraId="3190C472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引燃温度：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 w14:paraId="07A1FA60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 w14:paraId="6EFD4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402" w:type="dxa"/>
            <w:tcBorders>
              <w:top w:val="single" w:color="auto" w:sz="4" w:space="0"/>
              <w:bottom w:val="nil"/>
              <w:right w:val="nil"/>
            </w:tcBorders>
          </w:tcPr>
          <w:p w14:paraId="2FA859B8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9.17动力粘度：</w:t>
            </w:r>
          </w:p>
        </w:tc>
        <w:tc>
          <w:tcPr>
            <w:tcW w:w="6379" w:type="dxa"/>
            <w:tcBorders>
              <w:top w:val="single" w:color="auto" w:sz="4" w:space="0"/>
              <w:left w:val="nil"/>
              <w:bottom w:val="nil"/>
            </w:tcBorders>
          </w:tcPr>
          <w:p w14:paraId="6BE19820">
            <w:pPr>
              <w:pStyle w:val="12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＜1</w:t>
            </w:r>
            <w:r>
              <w:rPr>
                <w:rFonts w:cs="Arial"/>
                <w:kern w:val="0"/>
                <w:sz w:val="24"/>
              </w:rPr>
              <w:t>000 mPa.s</w:t>
            </w:r>
          </w:p>
        </w:tc>
      </w:tr>
      <w:tr w14:paraId="65C06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67368D3E">
            <w:pPr>
              <w:tabs>
                <w:tab w:val="left" w:pos="938"/>
              </w:tabs>
              <w:spacing w:line="300" w:lineRule="auto"/>
              <w:rPr>
                <w:rFonts w:cs="Arial"/>
                <w:b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9.18</w:t>
            </w:r>
            <w:r>
              <w:rPr>
                <w:rFonts w:hint="eastAsia" w:cs="Arial"/>
                <w:b/>
                <w:kern w:val="0"/>
                <w:sz w:val="24"/>
              </w:rPr>
              <w:t>固体含量：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0D07E38A">
            <w:pPr>
              <w:pStyle w:val="12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cs="Arial"/>
                <w:kern w:val="0"/>
                <w:sz w:val="24"/>
              </w:rPr>
              <w:t>3</w:t>
            </w:r>
            <w:r>
              <w:rPr>
                <w:rFonts w:hint="eastAsia" w:cs="Arial"/>
                <w:kern w:val="0"/>
                <w:sz w:val="24"/>
                <w:lang w:val="en-US" w:eastAsia="zh-CN"/>
              </w:rPr>
              <w:t>6</w:t>
            </w:r>
            <w:bookmarkStart w:id="0" w:name="_GoBack"/>
            <w:bookmarkEnd w:id="0"/>
            <w:r>
              <w:rPr>
                <w:rFonts w:hint="eastAsia"/>
                <w:kern w:val="0"/>
                <w:sz w:val="24"/>
              </w:rPr>
              <w:t>±</w:t>
            </w:r>
            <w:r>
              <w:rPr>
                <w:kern w:val="0"/>
                <w:sz w:val="24"/>
              </w:rPr>
              <w:t>2</w:t>
            </w:r>
            <w:r>
              <w:rPr>
                <w:rFonts w:hint="eastAsia" w:cs="Arial"/>
                <w:kern w:val="0"/>
                <w:sz w:val="24"/>
              </w:rPr>
              <w:t>%</w:t>
            </w:r>
          </w:p>
        </w:tc>
      </w:tr>
      <w:tr w14:paraId="27555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402" w:type="dxa"/>
            <w:tcBorders>
              <w:top w:val="nil"/>
              <w:bottom w:val="single" w:color="auto" w:sz="4" w:space="0"/>
              <w:right w:val="nil"/>
            </w:tcBorders>
          </w:tcPr>
          <w:p w14:paraId="30F7C1B1">
            <w:pPr>
              <w:spacing w:line="300" w:lineRule="auto"/>
              <w:rPr>
                <w:rFonts w:cs="Arial"/>
                <w:b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9.19</w:t>
            </w:r>
            <w:r>
              <w:rPr>
                <w:rFonts w:hint="eastAsia" w:cs="Arial"/>
                <w:b/>
                <w:kern w:val="0"/>
                <w:sz w:val="24"/>
              </w:rPr>
              <w:t>其他信息：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</w:tcBorders>
          </w:tcPr>
          <w:p w14:paraId="7D3FDE89">
            <w:pPr>
              <w:pStyle w:val="12"/>
              <w:spacing w:line="300" w:lineRule="auto"/>
              <w:ind w:right="34" w:rightChars="16" w:firstLine="0" w:firstLineChars="0"/>
              <w:rPr>
                <w:rFonts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上述数据非产品指标，产品指标请参见产品技术信息表。</w:t>
            </w:r>
          </w:p>
        </w:tc>
      </w:tr>
    </w:tbl>
    <w:p w14:paraId="052E85D2"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 w14:paraId="47220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02ED87A7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 w14:paraId="78636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402" w:type="dxa"/>
            <w:tcBorders>
              <w:top w:val="single" w:color="auto" w:sz="4" w:space="0"/>
              <w:bottom w:val="nil"/>
              <w:right w:val="nil"/>
            </w:tcBorders>
          </w:tcPr>
          <w:p w14:paraId="19C35F99"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379" w:type="dxa"/>
            <w:tcBorders>
              <w:top w:val="single" w:color="auto" w:sz="4" w:space="0"/>
              <w:left w:val="nil"/>
              <w:bottom w:val="nil"/>
            </w:tcBorders>
          </w:tcPr>
          <w:p w14:paraId="65563E8B">
            <w:pPr>
              <w:spacing w:line="300" w:lineRule="auto"/>
              <w:ind w:left="-25" w:leftChars="-12" w:right="480" w:firstLine="26" w:firstLineChars="1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根据规范使用，不会发生分解。</w:t>
            </w:r>
          </w:p>
        </w:tc>
      </w:tr>
      <w:tr w14:paraId="225C0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5F55C83B"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2EAC0EC5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在热分解过程中生成易燃有害气体。</w:t>
            </w:r>
          </w:p>
        </w:tc>
      </w:tr>
      <w:tr w14:paraId="3779B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402" w:type="dxa"/>
            <w:tcBorders>
              <w:top w:val="nil"/>
              <w:bottom w:val="single" w:color="auto" w:sz="4" w:space="0"/>
              <w:right w:val="nil"/>
            </w:tcBorders>
          </w:tcPr>
          <w:p w14:paraId="310217EF"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</w:tcBorders>
          </w:tcPr>
          <w:p w14:paraId="56B8E50F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正确储存或操作时，无危害反应。</w:t>
            </w:r>
          </w:p>
        </w:tc>
      </w:tr>
    </w:tbl>
    <w:p w14:paraId="1E96C52E"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5E47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CE3466A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 w14:paraId="22E90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0" w:hRule="atLeast"/>
        </w:trPr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</w:tcPr>
          <w:p w14:paraId="4EF8B374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该产品无可用的毒理学研究。 下面是这些成分的毒理学数据。</w:t>
            </w:r>
          </w:p>
          <w:p w14:paraId="64109B2C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 xml:space="preserve">11.1 毒理学效应 </w:t>
            </w:r>
          </w:p>
          <w:p w14:paraId="0EC9A293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急性毒性，经口</w:t>
            </w:r>
          </w:p>
          <w:p w14:paraId="0637719D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 w14:paraId="6AD18651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 xml:space="preserve">半数致死剂量(LD50) 大鼠: &gt; </w:t>
            </w:r>
            <w:r>
              <w:rPr>
                <w:rFonts w:ascii="宋体" w:hAnsi="宋体" w:cs="宋体"/>
                <w:sz w:val="24"/>
              </w:rPr>
              <w:t>2</w:t>
            </w:r>
            <w:r>
              <w:rPr>
                <w:rFonts w:hint="eastAsia" w:ascii="宋体" w:hAnsi="宋体" w:cs="宋体"/>
                <w:sz w:val="24"/>
              </w:rPr>
              <w:t>,000 mg/kg</w:t>
            </w:r>
          </w:p>
          <w:p w14:paraId="5936F6F3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方法：OECD化学品测试指南4</w:t>
            </w:r>
            <w:r>
              <w:rPr>
                <w:rFonts w:ascii="宋体" w:hAnsi="宋体" w:cs="宋体"/>
                <w:sz w:val="24"/>
              </w:rPr>
              <w:t>23</w:t>
            </w:r>
          </w:p>
          <w:p w14:paraId="0953F105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对类似产品的毒理学研究</w:t>
            </w:r>
          </w:p>
          <w:p w14:paraId="209CF61A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</w:p>
          <w:p w14:paraId="59CCF398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急性毒性，经皮</w:t>
            </w:r>
          </w:p>
          <w:p w14:paraId="30153B04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 w14:paraId="089C71B4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评估：此物质或混合物无急性皮肤毒性</w:t>
            </w:r>
          </w:p>
          <w:p w14:paraId="49AA68B4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对类似产品的研究</w:t>
            </w:r>
          </w:p>
          <w:p w14:paraId="28C20C21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</w:p>
          <w:p w14:paraId="2C725E5A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急性毒性，吸入</w:t>
            </w:r>
          </w:p>
          <w:p w14:paraId="27FAA75D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 w14:paraId="47C39BFF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试验环境：粉尘/烟雾</w:t>
            </w:r>
          </w:p>
          <w:p w14:paraId="161C907E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评估：此物质或混合物无急性呼吸毒性</w:t>
            </w:r>
          </w:p>
          <w:p w14:paraId="62CF4F8C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方法：OECD化学品测试指南4</w:t>
            </w:r>
            <w:r>
              <w:rPr>
                <w:rFonts w:ascii="宋体" w:hAnsi="宋体" w:cs="宋体"/>
                <w:sz w:val="24"/>
              </w:rPr>
              <w:t>03</w:t>
            </w:r>
          </w:p>
          <w:p w14:paraId="7D4CAE70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对类似产品的研究</w:t>
            </w:r>
          </w:p>
          <w:p w14:paraId="57CC9087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</w:p>
          <w:p w14:paraId="639A7ACD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原发性皮肤刺激</w:t>
            </w:r>
          </w:p>
          <w:p w14:paraId="4A078253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 w14:paraId="4F381DDC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物种：家兔</w:t>
            </w:r>
          </w:p>
          <w:p w14:paraId="6F766EBA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结果：轻微刺激</w:t>
            </w:r>
          </w:p>
          <w:p w14:paraId="2BF8D806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分类：无皮肤刺激</w:t>
            </w:r>
          </w:p>
          <w:p w14:paraId="6F2F0B91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方法：OECD化学品测试指南404</w:t>
            </w:r>
          </w:p>
          <w:p w14:paraId="29096A26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对类似产品的研究</w:t>
            </w:r>
          </w:p>
          <w:p w14:paraId="655B2D1B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</w:p>
          <w:p w14:paraId="3FD01771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原发性粘膜刺激</w:t>
            </w:r>
          </w:p>
          <w:p w14:paraId="3F912F8E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 w14:paraId="322469C8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物种：家兔</w:t>
            </w:r>
          </w:p>
          <w:p w14:paraId="581F5638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结果：轻微刺激</w:t>
            </w:r>
          </w:p>
          <w:p w14:paraId="3491E59A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分类：无眼睛刺激</w:t>
            </w:r>
          </w:p>
          <w:p w14:paraId="76D20790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方法：OECD化学品测试指南40</w:t>
            </w:r>
            <w:r>
              <w:rPr>
                <w:rFonts w:ascii="宋体" w:hAnsi="宋体" w:cs="宋体"/>
                <w:sz w:val="24"/>
              </w:rPr>
              <w:t>5</w:t>
            </w:r>
          </w:p>
          <w:p w14:paraId="281A6FB8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对类似产品研究</w:t>
            </w:r>
          </w:p>
          <w:p w14:paraId="353CF52C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</w:p>
          <w:p w14:paraId="2199D37D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致敏性</w:t>
            </w:r>
          </w:p>
          <w:p w14:paraId="05086076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 w14:paraId="4EFC3A02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根据Buehler（经皮试验）皮肤致敏性：</w:t>
            </w:r>
          </w:p>
          <w:p w14:paraId="32BBC1AD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物种：豚鼠</w:t>
            </w:r>
          </w:p>
          <w:p w14:paraId="7A57859B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结果：阴性</w:t>
            </w:r>
          </w:p>
          <w:p w14:paraId="657D52D0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分类：不引起皮肤过敏</w:t>
            </w:r>
          </w:p>
          <w:p w14:paraId="2AF09B05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方法：OECD化学品测试指南4</w:t>
            </w:r>
            <w:r>
              <w:rPr>
                <w:rFonts w:ascii="宋体" w:hAnsi="宋体" w:cs="宋体"/>
                <w:sz w:val="24"/>
              </w:rPr>
              <w:t>06</w:t>
            </w:r>
          </w:p>
          <w:p w14:paraId="3286E158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对类似产品研究</w:t>
            </w:r>
          </w:p>
          <w:p w14:paraId="254E9130">
            <w:pPr>
              <w:rPr>
                <w:rFonts w:ascii="宋体" w:hAnsi="宋体" w:cs="宋体"/>
                <w:sz w:val="24"/>
              </w:rPr>
            </w:pPr>
          </w:p>
          <w:p w14:paraId="2096AEA9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皮肤致敏性（局部淋巴结试验（LLNA））</w:t>
            </w:r>
          </w:p>
          <w:p w14:paraId="437D7A88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物种：小鼠</w:t>
            </w:r>
          </w:p>
          <w:p w14:paraId="4DEBF969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结果：阴性</w:t>
            </w:r>
          </w:p>
          <w:p w14:paraId="314DB304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分类：不引起皮肤过敏</w:t>
            </w:r>
          </w:p>
          <w:p w14:paraId="215E1D77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方法：OECD化学品测试指南4</w:t>
            </w:r>
            <w:r>
              <w:rPr>
                <w:rFonts w:ascii="宋体" w:hAnsi="宋体" w:cs="宋体"/>
                <w:sz w:val="24"/>
              </w:rPr>
              <w:t>29</w:t>
            </w:r>
          </w:p>
          <w:p w14:paraId="481B7289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对类似产品研究</w:t>
            </w:r>
          </w:p>
          <w:p w14:paraId="404D957E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</w:p>
          <w:p w14:paraId="3608649D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亚急性，亚慢性和延迟毒性</w:t>
            </w:r>
          </w:p>
          <w:p w14:paraId="7A330FD7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 w14:paraId="4D959D6B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无数据资料</w:t>
            </w:r>
          </w:p>
          <w:p w14:paraId="2E29C0FA">
            <w:pPr>
              <w:rPr>
                <w:rFonts w:ascii="宋体" w:hAnsi="宋体" w:cs="宋体"/>
                <w:sz w:val="24"/>
              </w:rPr>
            </w:pPr>
          </w:p>
          <w:p w14:paraId="5036173E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致癌性</w:t>
            </w:r>
          </w:p>
          <w:p w14:paraId="19355509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 w14:paraId="544636E6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无数据资料</w:t>
            </w:r>
          </w:p>
          <w:p w14:paraId="0A7B27FA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</w:p>
          <w:p w14:paraId="1B8C068A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生殖毒性/生育力</w:t>
            </w:r>
          </w:p>
          <w:p w14:paraId="5A92A155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 w14:paraId="46E05732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无数据资料</w:t>
            </w:r>
          </w:p>
          <w:p w14:paraId="0782EF89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</w:p>
          <w:p w14:paraId="05E8CB9C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生殖毒性/致畸形</w:t>
            </w:r>
          </w:p>
          <w:p w14:paraId="4F38F822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 w14:paraId="1BDD3455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无数据资料</w:t>
            </w:r>
          </w:p>
          <w:p w14:paraId="148E552E">
            <w:pPr>
              <w:rPr>
                <w:rFonts w:ascii="宋体" w:hAnsi="宋体" w:cs="宋体"/>
                <w:sz w:val="24"/>
              </w:rPr>
            </w:pPr>
          </w:p>
          <w:p w14:paraId="3DA39E9D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体外遗传毒性</w:t>
            </w:r>
          </w:p>
          <w:p w14:paraId="15CB62D3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 w14:paraId="47AACFD3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测试种类：沙门氏菌/微粒体试验（Ames试验）</w:t>
            </w:r>
          </w:p>
          <w:p w14:paraId="7E5857A8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代谢活化：有/无</w:t>
            </w:r>
          </w:p>
          <w:p w14:paraId="63B62CB1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结果：阴性</w:t>
            </w:r>
          </w:p>
          <w:p w14:paraId="064ABDB9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方法：OECD化学品测试指南4</w:t>
            </w:r>
            <w:r>
              <w:rPr>
                <w:rFonts w:ascii="宋体" w:hAnsi="宋体" w:cs="宋体"/>
                <w:sz w:val="24"/>
              </w:rPr>
              <w:t>71</w:t>
            </w:r>
          </w:p>
          <w:p w14:paraId="72A88527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对类似产品研究</w:t>
            </w:r>
          </w:p>
          <w:p w14:paraId="18D99A37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</w:p>
          <w:p w14:paraId="6E9A3CA9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测试种类：体外染色体畸变试验</w:t>
            </w:r>
          </w:p>
          <w:p w14:paraId="667FEEF3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代谢活化：有/无</w:t>
            </w:r>
          </w:p>
          <w:p w14:paraId="168A8718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结果：阴性</w:t>
            </w:r>
          </w:p>
          <w:p w14:paraId="28706B54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方法：OECD化学品测试指南4</w:t>
            </w:r>
            <w:r>
              <w:rPr>
                <w:rFonts w:ascii="宋体" w:hAnsi="宋体" w:cs="宋体"/>
                <w:sz w:val="24"/>
              </w:rPr>
              <w:t>73</w:t>
            </w:r>
          </w:p>
          <w:p w14:paraId="4458AF3A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对类似产品研究</w:t>
            </w:r>
          </w:p>
          <w:p w14:paraId="6773A882">
            <w:pPr>
              <w:ind w:left="-840" w:leftChars="-400"/>
              <w:rPr>
                <w:rFonts w:ascii="宋体" w:hAnsi="宋体" w:cs="宋体"/>
                <w:sz w:val="24"/>
              </w:rPr>
            </w:pPr>
          </w:p>
          <w:p w14:paraId="3B4534DC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体内基因毒性</w:t>
            </w:r>
          </w:p>
          <w:p w14:paraId="5B9249CF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 w14:paraId="65CB7B90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无数据资料</w:t>
            </w:r>
          </w:p>
          <w:p w14:paraId="180658CD">
            <w:pPr>
              <w:rPr>
                <w:rFonts w:ascii="宋体" w:hAnsi="宋体" w:cs="宋体"/>
                <w:sz w:val="24"/>
              </w:rPr>
            </w:pPr>
          </w:p>
          <w:p w14:paraId="158E62F7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STOT评估-一次性接触</w:t>
            </w:r>
          </w:p>
          <w:p w14:paraId="4303FB87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 w14:paraId="4AF6391E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基于现有数据，未满足分类标准。</w:t>
            </w:r>
          </w:p>
          <w:p w14:paraId="2230D277">
            <w:pPr>
              <w:rPr>
                <w:rFonts w:ascii="宋体" w:hAnsi="宋体" w:cs="宋体"/>
                <w:sz w:val="24"/>
              </w:rPr>
            </w:pPr>
          </w:p>
          <w:p w14:paraId="08D5CF67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STOT评估-重复性接触</w:t>
            </w:r>
          </w:p>
          <w:p w14:paraId="4BE1E056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 w14:paraId="0B65E7C1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无数据资料</w:t>
            </w:r>
          </w:p>
          <w:p w14:paraId="2FFAEB8C">
            <w:pPr>
              <w:rPr>
                <w:rFonts w:ascii="宋体" w:hAnsi="宋体" w:cs="宋体"/>
                <w:sz w:val="24"/>
              </w:rPr>
            </w:pPr>
          </w:p>
          <w:p w14:paraId="54F3D836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吸入危害</w:t>
            </w:r>
          </w:p>
          <w:p w14:paraId="2E64E529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 w14:paraId="7F736967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无数据资料</w:t>
            </w:r>
          </w:p>
          <w:p w14:paraId="5ED8459A">
            <w:pPr>
              <w:rPr>
                <w:rFonts w:ascii="宋体" w:hAnsi="宋体" w:cs="宋体"/>
                <w:sz w:val="24"/>
              </w:rPr>
            </w:pPr>
          </w:p>
          <w:p w14:paraId="479A759D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CMR评估</w:t>
            </w:r>
          </w:p>
          <w:p w14:paraId="3C7DE987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 w14:paraId="53FC9156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致癌性：无数据资料。</w:t>
            </w:r>
          </w:p>
          <w:p w14:paraId="2E07A663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致突变性：基于现有数据，未满足分类标准。</w:t>
            </w:r>
          </w:p>
          <w:p w14:paraId="31E973EF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致畸性：无数据资料。</w:t>
            </w:r>
          </w:p>
          <w:p w14:paraId="288AD991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生殖毒性/生育力：无数据资料。</w:t>
            </w:r>
          </w:p>
        </w:tc>
      </w:tr>
    </w:tbl>
    <w:p w14:paraId="5377C6C9"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 w14:paraId="3AB9C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6F1FC26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 w14:paraId="2CA79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  <w:tcBorders>
              <w:top w:val="single" w:color="auto" w:sz="4" w:space="0"/>
              <w:bottom w:val="nil"/>
            </w:tcBorders>
          </w:tcPr>
          <w:p w14:paraId="32B01677">
            <w:pPr>
              <w:numPr>
                <w:ilvl w:val="1"/>
                <w:numId w:val="9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379" w:type="dxa"/>
            <w:tcBorders>
              <w:top w:val="single" w:color="auto" w:sz="4" w:space="0"/>
              <w:bottom w:val="nil"/>
            </w:tcBorders>
          </w:tcPr>
          <w:p w14:paraId="2C7AF6DE"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该产品无可用的生态毒理学研究。禁止排入下水道，废水或土壤中。</w:t>
            </w:r>
          </w:p>
        </w:tc>
      </w:tr>
      <w:tr w14:paraId="2D793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  <w:tcBorders>
              <w:top w:val="nil"/>
              <w:bottom w:val="nil"/>
            </w:tcBorders>
          </w:tcPr>
          <w:p w14:paraId="2D8EDAD9">
            <w:pPr>
              <w:numPr>
                <w:ilvl w:val="1"/>
                <w:numId w:val="9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持久性和降解性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379" w:type="dxa"/>
            <w:tcBorders>
              <w:top w:val="nil"/>
              <w:bottom w:val="nil"/>
            </w:tcBorders>
          </w:tcPr>
          <w:p w14:paraId="3E406F72">
            <w:pPr>
              <w:spacing w:line="300" w:lineRule="auto"/>
              <w:ind w:left="1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生物降解性：＜6</w:t>
            </w:r>
            <w:r>
              <w:rPr>
                <w:rFonts w:hAnsi="Arial"/>
                <w:sz w:val="24"/>
              </w:rPr>
              <w:t>0</w:t>
            </w:r>
            <w:r>
              <w:rPr>
                <w:rFonts w:hint="eastAsia" w:hAnsi="Arial"/>
                <w:sz w:val="24"/>
              </w:rPr>
              <w:t>%，2</w:t>
            </w:r>
            <w:r>
              <w:rPr>
                <w:rFonts w:hAnsi="Arial"/>
                <w:sz w:val="24"/>
              </w:rPr>
              <w:t>8</w:t>
            </w:r>
            <w:r>
              <w:rPr>
                <w:rFonts w:hint="eastAsia" w:hAnsi="Arial"/>
                <w:sz w:val="24"/>
              </w:rPr>
              <w:t>d，该产品不易生物降解。</w:t>
            </w:r>
          </w:p>
          <w:p w14:paraId="22F96804">
            <w:pPr>
              <w:spacing w:line="300" w:lineRule="auto"/>
              <w:ind w:left="1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方法：OECD化学品测试指南3</w:t>
            </w:r>
            <w:r>
              <w:rPr>
                <w:rFonts w:hAnsi="Arial"/>
                <w:sz w:val="24"/>
              </w:rPr>
              <w:t>01</w:t>
            </w:r>
            <w:r>
              <w:rPr>
                <w:rFonts w:hint="eastAsia" w:hAnsi="Arial"/>
                <w:sz w:val="24"/>
              </w:rPr>
              <w:t>D</w:t>
            </w:r>
          </w:p>
          <w:p w14:paraId="62FD4BF1"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对类似产品的研究</w:t>
            </w:r>
          </w:p>
        </w:tc>
      </w:tr>
      <w:tr w14:paraId="53B43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  <w:tcBorders>
              <w:top w:val="nil"/>
              <w:bottom w:val="single" w:color="auto" w:sz="4" w:space="0"/>
            </w:tcBorders>
          </w:tcPr>
          <w:p w14:paraId="43AF6E3B">
            <w:pPr>
              <w:numPr>
                <w:ilvl w:val="1"/>
                <w:numId w:val="9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其他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379" w:type="dxa"/>
            <w:tcBorders>
              <w:top w:val="nil"/>
              <w:bottom w:val="single" w:color="auto" w:sz="4" w:space="0"/>
            </w:tcBorders>
          </w:tcPr>
          <w:p w14:paraId="04272696"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无数据资料</w:t>
            </w:r>
          </w:p>
        </w:tc>
      </w:tr>
    </w:tbl>
    <w:p w14:paraId="5FDA44FF"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 w14:paraId="44CAB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4DC8C41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 w14:paraId="5E454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 w14:paraId="5BBBCDA2">
            <w:pPr>
              <w:spacing w:before="62" w:beforeLines="20" w:after="62" w:afterLines="20"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必需遵守适用的国标、国家或当地法规进行废弃。</w:t>
            </w:r>
          </w:p>
        </w:tc>
      </w:tr>
      <w:tr w14:paraId="612E9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nil"/>
            </w:tcBorders>
          </w:tcPr>
          <w:p w14:paraId="0398BF87"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在欧盟领域内废弃，应根据欧洲废弃物分类（</w:t>
            </w:r>
            <w:r>
              <w:rPr>
                <w:sz w:val="24"/>
              </w:rPr>
              <w:t>EWC</w:t>
            </w:r>
            <w:r>
              <w:rPr>
                <w:rFonts w:hint="eastAsia" w:hAnsi="Arial"/>
                <w:sz w:val="24"/>
              </w:rPr>
              <w:t>）的适当法规。</w:t>
            </w:r>
          </w:p>
        </w:tc>
      </w:tr>
      <w:tr w14:paraId="02D9B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single" w:color="auto" w:sz="4" w:space="0"/>
              <w:right w:val="nil"/>
            </w:tcBorders>
          </w:tcPr>
          <w:p w14:paraId="5039FB22">
            <w:pPr>
              <w:tabs>
                <w:tab w:val="left" w:pos="3275"/>
              </w:tabs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</w:tcBorders>
          </w:tcPr>
          <w:p w14:paraId="011740AE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尽可能将容器倒空（例如经倾倒，刮擦或排干直至</w:t>
            </w:r>
            <w:r>
              <w:rPr>
                <w:rFonts w:hint="eastAsia"/>
                <w:sz w:val="24"/>
              </w:rPr>
              <w:t>“</w:t>
            </w:r>
            <w:r>
              <w:rPr>
                <w:rFonts w:hint="eastAsia" w:hAnsi="Arial"/>
                <w:sz w:val="24"/>
              </w:rPr>
              <w:t>滴干</w:t>
            </w:r>
            <w:r>
              <w:rPr>
                <w:rFonts w:hint="eastAsia"/>
                <w:sz w:val="24"/>
              </w:rPr>
              <w:t>”</w:t>
            </w:r>
            <w:r>
              <w:rPr>
                <w:rFonts w:hint="eastAsia" w:hAnsi="Arial"/>
                <w:sz w:val="24"/>
              </w:rPr>
              <w:t>）</w:t>
            </w:r>
          </w:p>
          <w:p w14:paraId="085AC8BC"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可根据化学工业现存的回收方案送往适当的收集点处理。</w:t>
            </w:r>
          </w:p>
          <w:p w14:paraId="0B2B93E3"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容器应按照国家法令和环境相关法规进行回收。</w:t>
            </w:r>
          </w:p>
          <w:p w14:paraId="173F08A7"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不能将废弃物通过废水排放。</w:t>
            </w:r>
          </w:p>
        </w:tc>
      </w:tr>
    </w:tbl>
    <w:p w14:paraId="3E6065F1"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 w14:paraId="4E0FE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DB4ABA8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 w14:paraId="14C65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</w:tcPr>
          <w:p w14:paraId="4929DF16"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379" w:type="dxa"/>
          </w:tcPr>
          <w:p w14:paraId="1FC92F4D"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非危险品陆运输方式，符合</w:t>
            </w:r>
            <w:r>
              <w:rPr>
                <w:sz w:val="24"/>
              </w:rPr>
              <w:t>ADG</w:t>
            </w:r>
            <w:r>
              <w:rPr>
                <w:rFonts w:hint="eastAsia" w:hAnsi="Arial"/>
                <w:sz w:val="24"/>
              </w:rPr>
              <w:t>准则。</w:t>
            </w:r>
          </w:p>
        </w:tc>
      </w:tr>
      <w:tr w14:paraId="411AF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402" w:type="dxa"/>
          </w:tcPr>
          <w:p w14:paraId="61866A55"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海上运输：</w:t>
            </w:r>
          </w:p>
          <w:p w14:paraId="308AA3E1"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空运</w:t>
            </w:r>
          </w:p>
          <w:p w14:paraId="03275BE7"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379" w:type="dxa"/>
          </w:tcPr>
          <w:p w14:paraId="47B985A8">
            <w:pPr>
              <w:spacing w:line="300" w:lineRule="auto"/>
              <w:ind w:left="34" w:right="480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非危险品海运方式，符合</w:t>
            </w:r>
            <w:r>
              <w:rPr>
                <w:sz w:val="24"/>
              </w:rPr>
              <w:t>IMDG</w:t>
            </w:r>
            <w:r>
              <w:rPr>
                <w:rFonts w:hint="eastAsia" w:hAnsi="Arial"/>
                <w:sz w:val="24"/>
              </w:rPr>
              <w:t>准则。</w:t>
            </w:r>
          </w:p>
          <w:p w14:paraId="66E84A75">
            <w:pPr>
              <w:spacing w:line="300" w:lineRule="auto"/>
              <w:ind w:left="34" w:right="480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非危险品运输方式，符合</w:t>
            </w:r>
            <w:r>
              <w:rPr>
                <w:sz w:val="24"/>
              </w:rPr>
              <w:t>IATA</w:t>
            </w:r>
            <w:r>
              <w:rPr>
                <w:rFonts w:hint="eastAsia" w:hAnsi="Arial"/>
                <w:sz w:val="24"/>
              </w:rPr>
              <w:t>准则。</w:t>
            </w:r>
          </w:p>
          <w:p w14:paraId="243B9601"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非危险货物。</w:t>
            </w:r>
          </w:p>
        </w:tc>
      </w:tr>
      <w:tr w14:paraId="679FA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402" w:type="dxa"/>
            <w:tcBorders>
              <w:bottom w:val="single" w:color="auto" w:sz="4" w:space="0"/>
            </w:tcBorders>
          </w:tcPr>
          <w:p w14:paraId="17E5B786">
            <w:pPr>
              <w:tabs>
                <w:tab w:val="left" w:pos="601"/>
                <w:tab w:val="left" w:pos="780"/>
              </w:tabs>
              <w:spacing w:line="300" w:lineRule="auto"/>
              <w:rPr>
                <w:b/>
                <w:sz w:val="24"/>
              </w:rPr>
            </w:pPr>
          </w:p>
        </w:tc>
        <w:tc>
          <w:tcPr>
            <w:tcW w:w="6379" w:type="dxa"/>
            <w:tcBorders>
              <w:bottom w:val="single" w:color="auto" w:sz="4" w:space="0"/>
            </w:tcBorders>
          </w:tcPr>
          <w:p w14:paraId="07E62D04">
            <w:pPr>
              <w:spacing w:line="300" w:lineRule="auto"/>
              <w:ind w:right="480"/>
              <w:rPr>
                <w:bCs/>
                <w:sz w:val="24"/>
              </w:rPr>
            </w:pPr>
          </w:p>
        </w:tc>
      </w:tr>
    </w:tbl>
    <w:p w14:paraId="3119233C"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568DB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2E3DCEE9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 w14:paraId="7DA1B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op w:val="single" w:color="auto" w:sz="4" w:space="0"/>
              <w:bottom w:val="nil"/>
            </w:tcBorders>
          </w:tcPr>
          <w:p w14:paraId="3346F873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物质或混合物的相关安全、健康和环保法律法规</w:t>
            </w:r>
          </w:p>
        </w:tc>
      </w:tr>
      <w:tr w14:paraId="6C6AB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op w:val="nil"/>
              <w:bottom w:val="nil"/>
            </w:tcBorders>
          </w:tcPr>
          <w:p w14:paraId="761AC9A8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 w14:paraId="1DABC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op w:val="nil"/>
              <w:bottom w:val="nil"/>
            </w:tcBorders>
          </w:tcPr>
          <w:p w14:paraId="3EC25A84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 w14:paraId="05D13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nil"/>
              <w:bottom w:val="nil"/>
            </w:tcBorders>
          </w:tcPr>
          <w:p w14:paraId="68019A61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危险化学品安全管理条例，国务院令</w:t>
            </w:r>
            <w:r>
              <w:rPr>
                <w:rFonts w:cs="Arial"/>
                <w:bCs/>
                <w:kern w:val="0"/>
                <w:sz w:val="24"/>
              </w:rPr>
              <w:t>344</w:t>
            </w:r>
            <w:r>
              <w:rPr>
                <w:rFonts w:hint="eastAsia" w:cs="Arial"/>
                <w:bCs/>
                <w:kern w:val="0"/>
                <w:sz w:val="24"/>
              </w:rPr>
              <w:t>号</w:t>
            </w:r>
          </w:p>
        </w:tc>
      </w:tr>
      <w:tr w14:paraId="1488C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nil"/>
              <w:bottom w:val="nil"/>
            </w:tcBorders>
          </w:tcPr>
          <w:p w14:paraId="57ED5A2B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GB/T 16483-2008 </w:t>
            </w:r>
            <w:r>
              <w:rPr>
                <w:rFonts w:hint="eastAsia" w:cs="Arial"/>
                <w:bCs/>
                <w:kern w:val="0"/>
                <w:sz w:val="24"/>
              </w:rPr>
              <w:t>化学品安全技术说明书内容和项目顺序</w:t>
            </w:r>
          </w:p>
        </w:tc>
      </w:tr>
      <w:tr w14:paraId="086BC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nil"/>
              <w:bottom w:val="nil"/>
            </w:tcBorders>
          </w:tcPr>
          <w:p w14:paraId="23E5378B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13690-2009 </w:t>
            </w:r>
            <w:r>
              <w:rPr>
                <w:rFonts w:hint="eastAsia" w:cs="Arial"/>
                <w:bCs/>
                <w:kern w:val="0"/>
                <w:sz w:val="24"/>
              </w:rPr>
              <w:t>化学品分类和危险性公示通则</w:t>
            </w:r>
          </w:p>
        </w:tc>
      </w:tr>
      <w:tr w14:paraId="7C588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nil"/>
              <w:bottom w:val="single" w:color="auto" w:sz="4" w:space="0"/>
            </w:tcBorders>
          </w:tcPr>
          <w:p w14:paraId="7C8DD9EB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20576- GB20598 </w:t>
            </w:r>
            <w:r>
              <w:rPr>
                <w:rFonts w:hint="eastAsia" w:cs="Arial"/>
                <w:bCs/>
                <w:kern w:val="0"/>
                <w:sz w:val="24"/>
              </w:rPr>
              <w:t>化学品分类，警示标签和警示性说明安全规范</w:t>
            </w:r>
          </w:p>
        </w:tc>
      </w:tr>
    </w:tbl>
    <w:p w14:paraId="7E9A9AB5"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4F91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9D8B0FA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 w14:paraId="0A134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</w:tcPr>
          <w:p w14:paraId="4B57BECE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4CAC61C0">
      <w:pPr>
        <w:spacing w:line="300" w:lineRule="auto"/>
        <w:ind w:right="480"/>
        <w:rPr>
          <w:sz w:val="24"/>
        </w:rPr>
      </w:pPr>
    </w:p>
    <w:p w14:paraId="4C45E37B"/>
    <w:sectPr>
      <w:headerReference r:id="rId3" w:type="default"/>
      <w:footerReference r:id="rId4" w:type="default"/>
      <w:pgSz w:w="11906" w:h="16838"/>
      <w:pgMar w:top="2503" w:right="1077" w:bottom="1418" w:left="1077" w:header="851" w:footer="73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1114B60F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 w14:paraId="09C7A021">
          <w:pPr>
            <w:pStyle w:val="3"/>
            <w:jc w:val="both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  PU-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2341E</w:t>
          </w:r>
          <w:r>
            <w:rPr>
              <w:rFonts w:hint="eastAsia"/>
              <w:kern w:val="0"/>
              <w:sz w:val="21"/>
              <w:szCs w:val="21"/>
            </w:rPr>
            <w:t>-MSDS</w:t>
          </w:r>
        </w:p>
      </w:tc>
      <w:tc>
        <w:tcPr>
          <w:tcW w:w="4984" w:type="dxa"/>
        </w:tcPr>
        <w:p w14:paraId="7CDB925F">
          <w:pPr>
            <w:ind w:firstLine="8730" w:firstLineChars="4850"/>
            <w:jc w:val="right"/>
            <w:rPr>
              <w:kern w:val="0"/>
              <w:sz w:val="20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P</w:t>
          </w:r>
          <w:r>
            <w:rPr>
              <w:rFonts w:hint="eastAsia"/>
              <w:kern w:val="0"/>
              <w:sz w:val="20"/>
              <w:szCs w:val="21"/>
            </w:rPr>
            <w:t>修订日期：</w:t>
          </w:r>
          <w:r>
            <w:rPr>
              <w:kern w:val="0"/>
              <w:sz w:val="20"/>
              <w:szCs w:val="21"/>
            </w:rPr>
            <w:t>202</w:t>
          </w:r>
          <w:r>
            <w:rPr>
              <w:rFonts w:hint="eastAsia"/>
              <w:kern w:val="0"/>
              <w:sz w:val="20"/>
              <w:szCs w:val="21"/>
              <w:lang w:val="en-US" w:eastAsia="zh-CN"/>
            </w:rPr>
            <w:t>6</w:t>
          </w:r>
          <w:r>
            <w:rPr>
              <w:kern w:val="0"/>
              <w:sz w:val="20"/>
              <w:szCs w:val="21"/>
            </w:rPr>
            <w:t>/</w:t>
          </w:r>
          <w:r>
            <w:rPr>
              <w:rFonts w:hint="eastAsia"/>
              <w:kern w:val="0"/>
              <w:sz w:val="20"/>
              <w:szCs w:val="21"/>
              <w:lang w:val="en-US" w:eastAsia="zh-CN"/>
            </w:rPr>
            <w:t>1</w:t>
          </w:r>
          <w:r>
            <w:rPr>
              <w:kern w:val="0"/>
              <w:sz w:val="20"/>
              <w:szCs w:val="21"/>
            </w:rPr>
            <w:t>/</w:t>
          </w:r>
          <w:r>
            <w:rPr>
              <w:rFonts w:hint="eastAsia"/>
              <w:kern w:val="0"/>
              <w:sz w:val="20"/>
              <w:szCs w:val="21"/>
              <w:lang w:val="en-US" w:eastAsia="zh-CN"/>
            </w:rPr>
            <w:t>10</w:t>
          </w: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   </w:t>
          </w:r>
        </w:p>
      </w:tc>
    </w:tr>
    <w:tr w14:paraId="78D7290E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 w14:paraId="2208F816">
          <w:pPr>
            <w:pStyle w:val="3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 w14:paraId="2938B17B">
          <w:pPr>
            <w:pStyle w:val="3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20C09E97">
    <w:pPr>
      <w:pStyle w:val="3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5FC44C"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</w:t>
    </w:r>
    <w:r>
      <w:rPr>
        <w:rFonts w:hint="eastAsia" w:cs="Arial" w:asciiTheme="majorEastAsia" w:hAnsiTheme="majorEastAsia" w:eastAsiaTheme="majorEastAsia"/>
        <w:b/>
        <w:sz w:val="44"/>
        <w:szCs w:val="44"/>
      </w:rPr>
      <w:t>物料安全数据表</w:t>
    </w:r>
  </w:p>
  <w:p w14:paraId="1D14D5AD">
    <w:pPr>
      <w:wordWrap w:val="0"/>
      <w:jc w:val="right"/>
      <w:rPr>
        <w:rFonts w:ascii="Arial" w:hAnsi="Arial" w:eastAsia="楷体_GB2312"/>
        <w:sz w:val="18"/>
        <w:szCs w:val="18"/>
      </w:rPr>
    </w:pPr>
    <w:r>
      <w:rPr>
        <w:rFonts w:ascii="Arial" w:eastAsia="楷体_GB2312"/>
        <w:sz w:val="18"/>
        <w:szCs w:val="18"/>
      </w:rPr>
      <w:t>Version</w:t>
    </w:r>
    <w:r>
      <w:rPr>
        <w:rFonts w:hint="eastAsia" w:ascii="Arial" w:eastAsia="楷体_GB2312"/>
        <w:sz w:val="18"/>
        <w:szCs w:val="18"/>
      </w:rPr>
      <w:t>：</w:t>
    </w:r>
    <w:r>
      <w:rPr>
        <w:rFonts w:ascii="Arial" w:hAnsi="Arial" w:eastAsia="楷体_GB2312"/>
        <w:sz w:val="18"/>
        <w:szCs w:val="18"/>
      </w:rPr>
      <w:t>1.0</w:t>
    </w:r>
  </w:p>
  <w:tbl>
    <w:tblPr>
      <w:tblStyle w:val="5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6CB92E8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 w14:paraId="57281804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</w:rPr>
            <w:t>PU-</w:t>
          </w: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2341E</w:t>
          </w:r>
        </w:p>
      </w:tc>
    </w:tr>
  </w:tbl>
  <w:p w14:paraId="70AB5D26">
    <w:pPr>
      <w:jc w:val="left"/>
      <w:rPr>
        <w:rFonts w:ascii="Arial" w:hAnsi="Arial" w:eastAsia="楷体_GB2312"/>
        <w:color w:val="7F7F7F"/>
        <w:sz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10568C"/>
    <w:multiLevelType w:val="multilevel"/>
    <w:tmpl w:val="0D10568C"/>
    <w:lvl w:ilvl="0" w:tentative="0">
      <w:start w:val="14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20575178"/>
    <w:multiLevelType w:val="multilevel"/>
    <w:tmpl w:val="20575178"/>
    <w:lvl w:ilvl="0" w:tentative="0">
      <w:start w:val="1"/>
      <w:numFmt w:val="decimal"/>
      <w:lvlText w:val="9.%1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2">
    <w:nsid w:val="357A479D"/>
    <w:multiLevelType w:val="multilevel"/>
    <w:tmpl w:val="357A479D"/>
    <w:lvl w:ilvl="0" w:tentative="0">
      <w:start w:val="1"/>
      <w:numFmt w:val="decimal"/>
      <w:lvlText w:val="5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3">
    <w:nsid w:val="3A5C1E05"/>
    <w:multiLevelType w:val="multilevel"/>
    <w:tmpl w:val="3A5C1E05"/>
    <w:lvl w:ilvl="0" w:tentative="0">
      <w:start w:val="12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4">
    <w:nsid w:val="50075728"/>
    <w:multiLevelType w:val="multilevel"/>
    <w:tmpl w:val="50075728"/>
    <w:lvl w:ilvl="0" w:tentative="0">
      <w:start w:val="1"/>
      <w:numFmt w:val="decimal"/>
      <w:lvlText w:val="10.%1"/>
      <w:lvlJc w:val="left"/>
      <w:pPr>
        <w:ind w:left="84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ind w:left="126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68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210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52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94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336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78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4200" w:hanging="420"/>
      </w:pPr>
      <w:rPr>
        <w:rFonts w:cs="Times New Roman"/>
      </w:rPr>
    </w:lvl>
  </w:abstractNum>
  <w:abstractNum w:abstractNumId="5">
    <w:nsid w:val="5F5B032F"/>
    <w:multiLevelType w:val="multilevel"/>
    <w:tmpl w:val="5F5B032F"/>
    <w:lvl w:ilvl="0" w:tentative="0">
      <w:start w:val="1"/>
      <w:numFmt w:val="decimal"/>
      <w:lvlText w:val="%1"/>
      <w:lvlJc w:val="left"/>
      <w:pPr>
        <w:tabs>
          <w:tab w:val="left" w:pos="660"/>
        </w:tabs>
        <w:ind w:left="660" w:hanging="66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660"/>
        </w:tabs>
        <w:ind w:left="660" w:hanging="66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6">
    <w:nsid w:val="5FF5793B"/>
    <w:multiLevelType w:val="multilevel"/>
    <w:tmpl w:val="5FF5793B"/>
    <w:lvl w:ilvl="0" w:tentative="0">
      <w:start w:val="1"/>
      <w:numFmt w:val="decimal"/>
      <w:lvlText w:val="4.%1."/>
      <w:lvlJc w:val="left"/>
      <w:pPr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7">
    <w:nsid w:val="6D6B60C3"/>
    <w:multiLevelType w:val="multilevel"/>
    <w:tmpl w:val="6D6B60C3"/>
    <w:lvl w:ilvl="0" w:tentative="0">
      <w:start w:val="1"/>
      <w:numFmt w:val="decimal"/>
      <w:lvlText w:val="6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8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9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5"/>
  </w:num>
  <w:num w:numId="2">
    <w:abstractNumId w:val="9"/>
  </w:num>
  <w:num w:numId="3">
    <w:abstractNumId w:val="6"/>
  </w:num>
  <w:num w:numId="4">
    <w:abstractNumId w:val="2"/>
  </w:num>
  <w:num w:numId="5">
    <w:abstractNumId w:val="7"/>
  </w:num>
  <w:num w:numId="6">
    <w:abstractNumId w:val="8"/>
  </w:num>
  <w:num w:numId="7">
    <w:abstractNumId w:val="1"/>
  </w:num>
  <w:num w:numId="8">
    <w:abstractNumId w:val="4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cwMjQ2Y2VjOWFhZTAwOTVmM2FmNjdjM2EzMTA0M2EifQ=="/>
  </w:docVars>
  <w:rsids>
    <w:rsidRoot w:val="003F27B9"/>
    <w:rsid w:val="00054D63"/>
    <w:rsid w:val="000838B0"/>
    <w:rsid w:val="000A232D"/>
    <w:rsid w:val="000C0199"/>
    <w:rsid w:val="000D08E9"/>
    <w:rsid w:val="000F3AE7"/>
    <w:rsid w:val="001372C0"/>
    <w:rsid w:val="00153234"/>
    <w:rsid w:val="001951AC"/>
    <w:rsid w:val="001A09DF"/>
    <w:rsid w:val="0022163F"/>
    <w:rsid w:val="00221867"/>
    <w:rsid w:val="002517BB"/>
    <w:rsid w:val="00266D33"/>
    <w:rsid w:val="00270828"/>
    <w:rsid w:val="002E1F13"/>
    <w:rsid w:val="00306061"/>
    <w:rsid w:val="00313DEC"/>
    <w:rsid w:val="00322097"/>
    <w:rsid w:val="0034451F"/>
    <w:rsid w:val="003457F9"/>
    <w:rsid w:val="00390B34"/>
    <w:rsid w:val="003C1007"/>
    <w:rsid w:val="003F27B9"/>
    <w:rsid w:val="004148B3"/>
    <w:rsid w:val="00427773"/>
    <w:rsid w:val="00431DDB"/>
    <w:rsid w:val="00456CDB"/>
    <w:rsid w:val="004A3278"/>
    <w:rsid w:val="00522626"/>
    <w:rsid w:val="005862EB"/>
    <w:rsid w:val="005B5135"/>
    <w:rsid w:val="005C42F9"/>
    <w:rsid w:val="005C609F"/>
    <w:rsid w:val="005F347E"/>
    <w:rsid w:val="006321EB"/>
    <w:rsid w:val="00663A83"/>
    <w:rsid w:val="006854CF"/>
    <w:rsid w:val="006861E3"/>
    <w:rsid w:val="00716A60"/>
    <w:rsid w:val="0071716A"/>
    <w:rsid w:val="00754F1F"/>
    <w:rsid w:val="007C493E"/>
    <w:rsid w:val="007D6FBC"/>
    <w:rsid w:val="007E4015"/>
    <w:rsid w:val="007F1E27"/>
    <w:rsid w:val="00853404"/>
    <w:rsid w:val="00880DD7"/>
    <w:rsid w:val="00887769"/>
    <w:rsid w:val="008B3B60"/>
    <w:rsid w:val="008B4F63"/>
    <w:rsid w:val="008C4A6C"/>
    <w:rsid w:val="008D3B67"/>
    <w:rsid w:val="009073AE"/>
    <w:rsid w:val="0092218A"/>
    <w:rsid w:val="00937D50"/>
    <w:rsid w:val="00943252"/>
    <w:rsid w:val="009761AC"/>
    <w:rsid w:val="009D4089"/>
    <w:rsid w:val="009F52FA"/>
    <w:rsid w:val="00A21619"/>
    <w:rsid w:val="00A26D98"/>
    <w:rsid w:val="00A902B6"/>
    <w:rsid w:val="00AB04AA"/>
    <w:rsid w:val="00AB135A"/>
    <w:rsid w:val="00AB7498"/>
    <w:rsid w:val="00AE3B0D"/>
    <w:rsid w:val="00B20B21"/>
    <w:rsid w:val="00B26FBE"/>
    <w:rsid w:val="00B500B7"/>
    <w:rsid w:val="00B55117"/>
    <w:rsid w:val="00BA1097"/>
    <w:rsid w:val="00BA6ABB"/>
    <w:rsid w:val="00BE10CE"/>
    <w:rsid w:val="00C45C80"/>
    <w:rsid w:val="00C76047"/>
    <w:rsid w:val="00C7667B"/>
    <w:rsid w:val="00CD6053"/>
    <w:rsid w:val="00D13E1C"/>
    <w:rsid w:val="00D32CC2"/>
    <w:rsid w:val="00D42F7A"/>
    <w:rsid w:val="00D75E1E"/>
    <w:rsid w:val="00DA78A9"/>
    <w:rsid w:val="00DB72E1"/>
    <w:rsid w:val="00E34CDB"/>
    <w:rsid w:val="00E52233"/>
    <w:rsid w:val="00E54455"/>
    <w:rsid w:val="00E87E33"/>
    <w:rsid w:val="00E953E7"/>
    <w:rsid w:val="00F60215"/>
    <w:rsid w:val="00F6692C"/>
    <w:rsid w:val="00F9634F"/>
    <w:rsid w:val="00FE5278"/>
    <w:rsid w:val="01CC46A2"/>
    <w:rsid w:val="07A46C3D"/>
    <w:rsid w:val="08637FFF"/>
    <w:rsid w:val="0A740DF3"/>
    <w:rsid w:val="0B600B53"/>
    <w:rsid w:val="0EC50AAB"/>
    <w:rsid w:val="0FD92674"/>
    <w:rsid w:val="16517144"/>
    <w:rsid w:val="1B6325AC"/>
    <w:rsid w:val="1C054B1F"/>
    <w:rsid w:val="22205541"/>
    <w:rsid w:val="22230786"/>
    <w:rsid w:val="243C0D49"/>
    <w:rsid w:val="26B95EC4"/>
    <w:rsid w:val="2A0440C7"/>
    <w:rsid w:val="2B571BE7"/>
    <w:rsid w:val="2DB26AF5"/>
    <w:rsid w:val="2DC636C8"/>
    <w:rsid w:val="31396024"/>
    <w:rsid w:val="3BB62EE3"/>
    <w:rsid w:val="3ECF7028"/>
    <w:rsid w:val="436C5AEA"/>
    <w:rsid w:val="4960490F"/>
    <w:rsid w:val="4CF260A7"/>
    <w:rsid w:val="4DB4181A"/>
    <w:rsid w:val="4EAB53B5"/>
    <w:rsid w:val="50CF7E09"/>
    <w:rsid w:val="558C5584"/>
    <w:rsid w:val="572702C5"/>
    <w:rsid w:val="58276598"/>
    <w:rsid w:val="58D72B4E"/>
    <w:rsid w:val="59723028"/>
    <w:rsid w:val="5AF02A7D"/>
    <w:rsid w:val="5D797325"/>
    <w:rsid w:val="5ED36ACB"/>
    <w:rsid w:val="5FE56E4E"/>
    <w:rsid w:val="601E51B9"/>
    <w:rsid w:val="605877C9"/>
    <w:rsid w:val="6ADE4F3B"/>
    <w:rsid w:val="6C943D9F"/>
    <w:rsid w:val="6CD07193"/>
    <w:rsid w:val="6D1774EE"/>
    <w:rsid w:val="6F524E6B"/>
    <w:rsid w:val="6FAE7D8E"/>
    <w:rsid w:val="70634D55"/>
    <w:rsid w:val="74F13C64"/>
    <w:rsid w:val="75C46A28"/>
    <w:rsid w:val="76D73271"/>
    <w:rsid w:val="78F9438C"/>
    <w:rsid w:val="7A3045C8"/>
    <w:rsid w:val="7D8737AD"/>
    <w:rsid w:val="7D9343B6"/>
    <w:rsid w:val="7FDF0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unhideWhenUsed/>
    <w:qFormat/>
    <w:uiPriority w:val="99"/>
    <w:rPr>
      <w:color w:val="0000FF"/>
      <w:u w:val="single"/>
    </w:rPr>
  </w:style>
  <w:style w:type="character" w:customStyle="1" w:styleId="9">
    <w:name w:val="页眉 字符"/>
    <w:basedOn w:val="7"/>
    <w:link w:val="4"/>
    <w:semiHidden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qFormat/>
    <w:uiPriority w:val="99"/>
    <w:rPr>
      <w:sz w:val="18"/>
      <w:szCs w:val="18"/>
    </w:rPr>
  </w:style>
  <w:style w:type="paragraph" w:customStyle="1" w:styleId="11">
    <w:name w:val="列出段落1"/>
    <w:basedOn w:val="1"/>
    <w:qFormat/>
    <w:uiPriority w:val="34"/>
    <w:pPr>
      <w:ind w:firstLine="420" w:firstLineChars="200"/>
    </w:p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2526</Words>
  <Characters>2857</Characters>
  <Lines>24</Lines>
  <Paragraphs>6</Paragraphs>
  <TotalTime>5</TotalTime>
  <ScaleCrop>false</ScaleCrop>
  <LinksUpToDate>false</LinksUpToDate>
  <CharactersWithSpaces>2981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2017-04-19T01:45:00Z</dcterms:created>
  <dc:creator>Windows 用户</dc:creator>
  <cp:lastModifiedBy>狮子座的兔子</cp:lastModifiedBy>
  <cp:lastPrinted>2021-08-14T10:03:00Z</cp:lastPrinted>
  <dcterms:modified xsi:type="dcterms:W3CDTF">2026-01-10T05:28:51Z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50992370F0D04A3F94A7709190F62A54</vt:lpwstr>
  </property>
  <property fmtid="{D5CDD505-2E9C-101B-9397-08002B2CF9AE}" pid="4" name="KSOTemplateDocerSaveRecord">
    <vt:lpwstr>eyJoZGlkIjoiMzcwMjQ2Y2VjOWFhZTAwOTVmM2FmNjdjM2EzMTA0M2EiLCJ1c2VySWQiOiI5MTI3NTMxMjQifQ==</vt:lpwstr>
  </property>
</Properties>
</file>