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Yingde Guocai New Material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Kaidi Industrial Park, Genggukeng, Taiping Village, Baisha Town, Yingde, Guangdong, China</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86-763-2811205</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86-763-2811024</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tcPr>
          <w:p w14:paraId="22A157D7">
            <w:pPr>
              <w:keepNext w:val="0"/>
              <w:keepLines w:val="0"/>
              <w:pageBreakBefore w:val="0"/>
              <w:widowControl w:val="0"/>
              <w:kinsoku/>
              <w:wordWrap/>
              <w:overflowPunct/>
              <w:topLinePunct w:val="0"/>
              <w:bidi w:val="0"/>
              <w:adjustRightInd/>
              <w:snapToGrid/>
              <w:spacing w:line="300" w:lineRule="auto"/>
              <w:jc w:val="left"/>
              <w:textAlignment w:val="auto"/>
              <w:rPr>
                <w:rFonts w:hint="eastAsia" w:cs="Arial"/>
                <w:kern w:val="0"/>
                <w:sz w:val="24"/>
                <w:lang w:val="en-US" w:eastAsia="zh-CN"/>
              </w:rPr>
            </w:pPr>
            <w:r>
              <w:rPr>
                <w:rFonts w:hint="eastAsia" w:cs="Arial" w:eastAsia="宋体" w:ascii="Arial" w:hAnsi="Arial"/>
                <w:b w:val="0"/>
                <w:bCs w:val="0"/>
                <w:kern w:val="0"/>
                <w:sz w:val="24"/>
                <w:szCs w:val="24"/>
                <w:lang w:val="en-US" w:eastAsia="zh-CN"/>
              </w:rPr>
              <w:t>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tcPr>
          <w:p w14:paraId="6C5E98DE">
            <w:pPr>
              <w:keepNext w:val="0"/>
              <w:keepLines w:val="0"/>
              <w:pageBreakBefore w:val="0"/>
              <w:widowControl w:val="0"/>
              <w:kinsoku/>
              <w:wordWrap/>
              <w:overflowPunct/>
              <w:topLinePunct w:val="0"/>
              <w:bidi w:val="0"/>
              <w:adjustRightInd/>
              <w:snapToGrid/>
              <w:spacing w:line="300" w:lineRule="auto"/>
              <w:jc w:val="left"/>
              <w:textAlignment w:val="auto"/>
              <w:rPr>
                <w:rFonts w:hint="eastAsia" w:cs="Arial"/>
                <w:kern w:val="0"/>
                <w:sz w:val="24"/>
                <w:lang w:val="en-US" w:eastAsia="zh-CN"/>
              </w:rPr>
            </w:pPr>
            <w:r>
              <w:rPr>
                <w:rFonts w:hint="eastAsia" w:cs="Arial" w:eastAsia="宋体" w:ascii="Arial" w:hAnsi="Arial"/>
                <w:b w:val="0"/>
                <w:bCs w:val="0"/>
                <w:kern w:val="0"/>
                <w:sz w:val="24"/>
                <w:szCs w:val="24"/>
                <w:lang w:val="en-US" w:eastAsia="zh-CN"/>
              </w:rPr>
              <w:t>The following are toxicological data for N,N-Dimethylacetamide (DMAC):</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3,000-6,000mg/kg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8.81mg/l(applicable only where respirable aerosols are formed)</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14:paraId="60502DE4">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Species: Rabbit; Classification: Irritating to skin; 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14:paraId="766A010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Species: Rabbit; Classification: Irritating to eyes; 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14:paraId="4FBF7DC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Species: Guinea pig; Classification: Not a skin sensitizer; Result: Did not cause sensitization in laboratory animals; Species: Human; Classification: Not a skin sensitizer; Result: Patch test on human volunteers demonstrated no sensitizing properties</w:t>
            </w:r>
            <w:r>
              <w:rPr>
                <w:rFonts w:ascii="Arial" w:hAnsi="Arial" w:eastAsia="Arial" w:cs="Arial"/>
                <w:sz w:val="19"/>
                <w:szCs w:val="19"/>
              </w:rPr>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Did not cause genetic damage in bacterial cell culture. Did not cause genetic damage in mammalian cell culture. Evidence indicates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testing showed no reproductive toxicity. Animal experiments showed effects on the embryo at levels below those causing maternal toxicity. Reduced embryo-fetal viability, slow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14:paraId="715C379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jc w:val="left"/>
          </w:pPr>
          <w:r>
            <w:rPr>
              <w:rFonts w:hint="eastAsia"/>
              <w:kern w:val="0"/>
              <w:sz w:val="21"/>
              <w:szCs w:val="21"/>
            </w:rPr>
            <w:t>Yingde Guocai New Material Co., Ltd. PU-202A-MSDS</w:t>
          </w:r>
        </w:p>
      </w:tc>
      <w:tc>
        <w:tcPr>
          <w:tcW w:w="4984" w:type="dxa"/>
        </w:tcPr>
        <w:p w14:paraId="32B3FF4C">
          <w:pPr>
            <w:ind w:firstLine="8730" w:firstLineChars="4850"/>
            <w:jc w:val="right"/>
            <w:rPr>
              <w:kern w:val="0"/>
              <w:sz w:val="20"/>
            </w:rPr>
            <w:jc w:val="right"/>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44792662_0.png"/><Relationship Id="rId32" Type="http://schemas.openxmlformats.org/officeDocument/2006/relationships/image" Target="media/image_ghs_1793244792662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