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水性聚氨酯分散体 PU-202C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改性聚氨酯树脂水分散体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应用于服装革、鞋面革、箱包革、柔韧纺织品及塑料的表面涂层，纤维等上浆、纸张印刷等行业。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9795" w:type="dxa"/>
            <w:gridSpan w:val="2"/>
            <w:vAlign w:val="center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</w:tcPr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2.1 GHS危险性类别：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急性毒性（吸入），类别4（H332）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皮肤腐蚀/刺激，类别3（H316）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严重眼睛损伤/眼睛刺激性，类别2B（H320）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生殖毒性物质，类别1B（H360）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一次接触，类别1（H370）</w:t>
            </w:r>
          </w:p>
          <w:p>
            <w:pPr>
              <w:spacing w:line="300" w:lineRule="auto"/>
              <w:ind w:firstLine="480" w:righ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特异性靶器官系统毒性 反复接触，类别2（H373）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2.2 GHS标签要素：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GHS象形图：</w:t>
            </w:r>
          </w:p>
          <w:p>
            <w:pPr>
              <w:jc w:val="center"/>
            </w:pPr>
            <w:r>
              <w:drawing>
                <wp:inline distT="0" distB="0" distL="114300" distR="114300">
                  <wp:extent cx="1080135" cy="1035050"/>
                  <wp:effectExtent l="0" t="0" r="5715" b="12700"/>
                  <wp:docPr id="7" name="图片 7" descr="a7b9e896460dc52dc6206ee221eea8f5_5bf3c34a9a96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a7b9e896460dc52dc6206ee221eea8f5_5bf3c34a9a96f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3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1080135" cy="1028065"/>
                  <wp:effectExtent l="0" t="0" r="5715" b="635"/>
                  <wp:docPr id="6" name="图片 6" descr="5fba3e5eb86cadebbd61a9a86c575918_5bf3c3455c9b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 descr="5fba3e5eb86cadebbd61a9a86c575918_5bf3c3455c9b1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135" cy="102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信号词：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危险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危险性说明：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H316造成轻微皮肤刺激。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H320造成眼睛刺激。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H332吸入有害。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H360可能对生育能力或胎儿造成伤害。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H370可能对器官的伤害。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H373长期或重复暴露可能会对器官造成伤害（肝）。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防范说明：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预防措施：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P201 在使用前获取特别指示。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P202 在阅读并了解所有安全预防措施之前，切勿操作与处置。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P260 不要吸入粉尘/烟/气体/气雾/蒸气/喷雾。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P264 操作后彻底清洗双手。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P270 使用本产品时不要进食、饮水或吸烟。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P271 只能在室外或通风良好处使用。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P280 戴防护手套/穿防护服/戴防护眼罩/戴防护面具。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事故响应：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P304+P340 如误吸入：将人转移到空气新鲜处，保持呼吸舒适体位。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P305+P351+P338 如果进入眼睛：用水小心地冲洗几分钟。如简便易行，摘除隐形眼镜，继续冲洗。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P308+P313 如果接触到或有疑虑：求医/就诊。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P337+P313 如眼刺激持续不退：求医/就诊。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P370+P378 火灾时：使用泡沫，干粉灭火器或二氧化碳灭火。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安全储存：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P405 储存处须加锁。</w:t>
            </w:r>
          </w:p>
          <w:p>
            <w:pPr>
              <w:spacing w:line="300" w:lineRule="auto"/>
              <w:ind w:left="480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废弃处置：</w:t>
            </w:r>
          </w:p>
          <w:p>
            <w:pPr>
              <w:spacing w:line="300" w:lineRule="auto"/>
              <w:ind w:left="960"/>
            </w:pPr>
            <w:r>
              <w:rPr>
                <w:rFonts w:hint="eastAsia" w:ascii="Times New Roman" w:hAnsi="Times New Roman" w:eastAsia="宋体"/>
                <w:sz w:val="24"/>
              </w:rPr>
              <w:t xml:space="preserve">        P501 处置内装物/容器按照当地规章。</w:t>
            </w:r>
          </w:p>
          <w:p>
            <w:pPr>
              <w:spacing w:line="300" w:lineRule="auto"/>
            </w:pPr>
            <w:r>
              <w:rPr>
                <w:rFonts w:hint="eastAsia" w:ascii="Times New Roman" w:hAnsi="Times New Roman" w:eastAsia="宋体"/>
                <w:sz w:val="24"/>
                <w:b/>
              </w:rPr>
              <w:t xml:space="preserve">其他危险：</w:t>
            </w:r>
            <w:r>
              <w:rPr>
                <w:rFonts w:hint="eastAsia" w:ascii="Times New Roman" w:hAnsi="Times New Roman" w:eastAsia="宋体"/>
                <w:sz w:val="24"/>
              </w:rPr>
              <w:t xml:space="preserve">无适用资料。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/>
            </w: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center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  <w:b/>
              </w:rPr>
              <w:t>CAS</w:t>
            </w:r>
            <w:r>
              <w:rPr>
                <w:rFonts w:hint="eastAsia"/>
                <w:sz w:val="24"/>
                <w:u w:val="single"/>
                <w:b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  <w:b/>
              </w:rPr>
              <w:t>含量</w:t>
            </w:r>
            <w:r>
              <w:rPr>
                <w:sz w:val="24"/>
                <w:u w:val="single"/>
                <w:b/>
              </w:rPr>
              <w:t>%</w:t>
            </w:r>
            <w:r>
              <w:rPr>
                <w:rFonts w:hint="eastAsia" w:hAnsi="Arial"/>
                <w:sz w:val="24"/>
                <w:u w:val="single"/>
                <w:b/>
              </w:rPr>
              <w:t>（</w:t>
            </w:r>
            <w:r>
              <w:rPr>
                <w:sz w:val="24"/>
                <w:u w:val="single"/>
                <w:b/>
              </w:rPr>
              <w:t>w/w</w:t>
            </w:r>
            <w:r>
              <w:rPr>
                <w:rFonts w:hint="eastAsia" w:hAnsi="Arial"/>
                <w:sz w:val="24"/>
                <w:u w:val="single"/>
                <w:b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聚氨酯分散体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9009-54-5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28.0~31.0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去离子水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53.0~57.0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eastAsia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N,N－二甲基乙酰胺(DMAC)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127-19-5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15.0~16.0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若意外吞食，不要催吐，立即就医。无意识时，不要经口喂食任何食物。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二氧化碳（CO2），耐醇泡沫，化学干粉。大火时应用水喷洒。</w:t>
            </w:r>
            <w:r>
              <w:rPr>
                <w:sz w:val="24"/>
              </w:rPr>
            </w:r>
            <w:r>
              <w:rPr>
                <w:sz w:val="24"/>
                <w:vertAlign w:val="subscript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  <w:r>
              <w:rPr>
                <w:rFonts w:hint="eastAsia"/>
                <w:sz w:val="24"/>
                <w:lang w:val="en-US" w:eastAsia="zh-CN"/>
              </w:rPr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高流量的水喷射。</w:t>
            </w:r>
            <w:r>
              <w:rPr>
                <w:rFonts w:hint="eastAsia"/>
                <w:sz w:val="24"/>
              </w:rPr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燃烧时释放一氧化碳、二氧化碳、氮氧化物等。</w:t>
              <w:br/>
              <w:t>在着火或爆炸情况下，不要吸进烟尘。</w:t>
            </w:r>
            <w:r>
              <w:rPr>
                <w:rFonts w:hint="eastAsia"/>
                <w:sz w:val="24"/>
                <w:lang w:val="en-US" w:eastAsia="zh-CN"/>
              </w:rPr>
            </w:r>
            <w:r>
              <w:rPr>
                <w:rFonts w:hint="eastAsia"/>
                <w:sz w:val="24"/>
                <w:lang w:eastAsia="zh-CN"/>
              </w:rPr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消防人员必须佩戴自供气式呼吸器。</w:t>
              <w:br/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戴防护设备。确保充分的通风/排气。</w:t>
              <w:br/>
              <w:t>令未授权人员离开。</w:t>
            </w:r>
            <w:r>
              <w:rPr>
                <w:sz w:val="24"/>
              </w:rPr>
            </w:r>
            <w:r>
              <w:rPr>
                <w:rFonts w:hint="eastAsia"/>
                <w:sz w:val="24"/>
              </w:rPr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禁止排入下水道，废水或土壤中。</w:t>
            </w:r>
            <w:r>
              <w:rPr>
                <w:rFonts w:hint="eastAsia"/>
                <w:sz w:val="24"/>
              </w:rPr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用化学品吸收材料或必要时用干沙收集，并储存与密闭容器中。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在具有适当排气通风的场所使用。避免与皮肤和眼睛接触。不要呼吸蒸气或喷雾。远离食物，饮料和烟草，休息前及工作结束及时洗手。更换被污染或浸湿的衣物。</w:t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容器保持紧闭，存储在凉爽通风处。为保证产品质量，必须遵守我们产品信息表的储存条件。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/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厚度≧0.4mm；穿透时间≧480min.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厚度≧0.35mm；穿透时间≧480min.</w:t>
            </w:r>
            <w:r>
              <w:rPr>
                <w:rFonts w:cs="Arial"/>
                <w:kern w:val="0"/>
                <w:sz w:val="24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  <w:r>
              <w:rPr>
                <w:rFonts w:cs="Arial"/>
                <w:kern w:val="0"/>
                <w:sz w:val="24"/>
              </w:rPr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污染的手套应废弃。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戴护目镜/面罩。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</w:r>
            <w:r>
              <w:rPr>
                <w:rFonts w:hint="eastAsia" w:hAnsi="Arial" w:cs="Arial"/>
                <w:kern w:val="0"/>
                <w:sz w:val="24"/>
              </w:rPr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 w:eastAsia="宋体"/>
                <w:b w:val="0"/>
                <w:bCs w:val="0"/>
                <w:kern w:val="0"/>
                <w:sz w:val="24"/>
                <w:szCs w:val="24"/>
              </w:rPr>
              <w:t>穿着适当的防护服。</w:t>
            </w:r>
          </w:p>
        </w:tc>
      </w:tr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color w:val="000000"/>
                <w:sz w:val="24"/>
                <w:szCs w:val="24"/>
              </w:rPr>
              <w:t>泛蓝光半透明乳液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嗅觉阈值：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 w:eastAsia="宋体"/>
                <w:b w:val="0"/>
                <w:bCs w:val="0"/>
                <w:color w:val="000000"/>
                <w:sz w:val="24"/>
                <w:szCs w:val="24"/>
              </w:rPr>
              <w:t>阴离子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约100℃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闪点：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蒸发速率：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燃烧值：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约130hPa在50℃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1.0-1.1g/cm3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完全混溶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9.14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表面张力：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9.15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9.16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9.17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9.18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9.19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＜250mPa.s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9.20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9.21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不适用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9.22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固体含量（150℃，30min）：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30±2%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ind w:left="420" w:leftChars="0" w:hanging="420" w:firstLineChars="0"/>
            </w:pPr>
            <w:r>
              <w:rPr>
                <w:rFonts w:hint="eastAsia" w:ascii="Times New Roman" w:hAnsi="Times New Roman" w:eastAsia="宋体" w:cs="Times New Roman"/>
                <w:b/>
                <w:sz w:val="21"/>
                <w:szCs w:val="21"/>
              </w:rPr>
              <w:t>9.23</w:t>
              <w:tab/>
            </w:r>
            <w:r>
              <w:rPr>
                <w:rFonts w:hint="eastAsia" w:hAnsi="Arial" w:ascii="Arial" w:eastAsia="Arial"/>
                <w:b/>
                <w:sz w:val="24"/>
                <w:szCs w:val="24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</w:rPr>
              <w:t>上述数据非产品指标，产品指标请参见产品技术信息表。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根据规范使用，不会发生分解。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涂料在干燥/固化时，释放出中和剂。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正确储存或操作时，无危害反应。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gridSpan w:val="4"/>
            <w:tcW w:w="9781" w:type="dxa"/>
          </w:tcPr>
          <w:p>
            <w:pPr>
              <w:spacing w:line="300" w:lineRule="auto"/>
              <w:ind w:left="34" w:leftChars="16" w:right="480"/>
              <w:jc w:val="left"/>
              <w:rPr>
                <w:sz w:val="24"/>
              </w:rPr>
            </w:pPr>
            <w:r>
              <w:rPr>
                <w:rFonts w:ascii="宋体" w:hAnsi="宋体" w:eastAsia="宋体" w:cs="宋体"/>
                <w:b w:val="0"/>
                <w:sz w:val="24"/>
                <w:szCs w:val="24"/>
              </w:rPr>
              <w:t xml:space="preserve">以下是N,N－二甲基乙酰胺毒理学数据：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半数致死剂量（LD50）/大鼠：3,000－6,000mg/kg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半数致死浓度（LC50）/1h/大鼠 雌性：8.81mg/l</w:t>
              <w:br/>
              <w:t>（此值仅用于有可吸入的颗粒形成的情况。）</w:t>
              <w:br/>
              <w:t>半数致死浓度（LC50）/4h/大鼠 雌性：2.2mg/l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lang w:val="en-US" w:eastAsia="zh-CN"/>
              </w:rPr>
              <w:t>半数致死剂量（LD50）/豚鼠：＜940mg/kg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主要皮肤刺激性: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分类：刺激皮肤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结果：轻度的皮肤刺激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主要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粘膜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物种：兔子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分类：刺激眼睛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结果：轻度的眼睛刺激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物种：豚鼠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结果：未引起实验室动物过敏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物种：人类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分类：不是皮肤过敏物质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结果：对志愿者做的皮肤接触试验证明没有过敏特性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在细菌细胞培养中没有引起基因损害。在哺乳类细胞培养中没有引起基因损害。有证据认为此物质不会在动物中引起基因损伤。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</w:rPr>
              <w:ind w:left="420" w:leftChars="0" w:hanging="420" w:firstLineChars="0"/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生殖毒性：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gridSpan w:val="3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eastAsia="宋体"/>
                <w:b w:val="0"/>
                <w:bCs w:val="0"/>
                <w:sz w:val="24"/>
                <w:szCs w:val="24"/>
              </w:rPr>
              <w:t>动物试验表明无生殖毒性。</w:t>
              <w:br/>
              <w:t>动物实验表明在低于那些引起母体中毒的量时，对胚胎有影响。降低了胚胎胎儿的成活力，胎儿发育缓慢（变异），胎儿畸形。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1"/>
                <w:bCs w:val="1"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 w:eastAsia="宋体"/>
                <w:b w:val="1"/>
                <w:bCs w:val="1"/>
                <w:kern w:val="2"/>
                <w:sz w:val="24"/>
                <w:szCs w:val="24"/>
                <w:lang w:val="en-US" w:eastAsia="zh-CN" w:bidi="ar-SA"/>
              </w:rPr>
              <w:t xml:space="preserve"> </w:t>
            </w:r>
            <w:r>
              <w:rPr>
                <w:rFonts w:hint="eastAsia" w:hAnsi="Arial" w:eastAsia="宋体"/>
                <w:b w:val="1"/>
                <w:bCs w:val="1"/>
                <w:sz w:val="24"/>
                <w:szCs w:val="24"/>
                <w:lang w:val="en-US" w:eastAsia="zh-CN"/>
              </w:rPr>
              <w:t xml:space="preserve"> 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饮酒精饮料会加剧毒性影响。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重复剂量中毒：经口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病理变化：胃，睾丸，肝，肾，红血球异常减少。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重复剂量中毒：吸入</w:t>
            </w:r>
          </w:p>
          <w:p>
            <w:pPr>
              <w:spacing w:line="300" w:lineRule="auto"/>
              <w:ind w:right="480"/>
              <w:jc w:val="left"/>
              <w:rPr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 xml:space="preserve">病理变化：肾、肝影响，视网膜损伤。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以下是N,N－二甲基乙酰胺生态毒理学数据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 w:eastAsia="宋体"/>
                <w:b w:val="0"/>
                <w:bCs w:val="0"/>
                <w:sz w:val="24"/>
                <w:szCs w:val="24"/>
                <w:shd w:val="clear" w:color="auto" w:fill="auto"/>
                <w:lang w:val="en-US" w:eastAsia="zh-CN"/>
              </w:rPr>
              <w:t>对鱼类的毒性：</w:t>
              <w:br/>
              <w:t>半数致死浓度（LC50）/96h/黑头呆鱼：1,500mg/l</w:t>
              <w:br/>
              <w:t>其他：</w:t>
              <w:br/>
              <w:t>半数致死有效浓度（EC50）/72h/藻类：＞500mg/l</w:t>
              <w:br/>
              <w:t>半数致死有效浓度（EC50）/48h/大型溞：＞500mg/l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 w:val="0"/>
                <w:bCs w:val="0"/>
                <w:sz w:val="24"/>
                <w:szCs w:val="24"/>
              </w:rPr>
              <w:t>无数据资料。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必须遵守适用的国标、国家或当地法规进行废弃。</w:t>
              <w:br/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尽可能将容器倒空（例如经倾倒，刮擦或排干直至“滴干”）</w:t>
              <w:br/>
              <w:t>可根据化学工业现存的回收方案送往适当的收集点处理。</w:t>
              <w:br/>
              <w:t>容器应按照国家法令和环境相关法规进行回收。</w:t>
              <w:br/>
              <w:t>不能将废弃物通过废水排放。</w:t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  <w:r>
              <w:rPr>
                <w:rFonts w:hint="eastAsia"/>
                <w:sz w:val="24"/>
              </w:rPr>
            </w:r>
            <w:r>
              <w:rPr>
                <w:rFonts w:hint="eastAsia" w:hAnsi="Arial"/>
                <w:sz w:val="24"/>
              </w:rPr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eastAsia="宋体"/>
                <w:b w:val="0"/>
                <w:bCs w:val="0"/>
                <w:sz w:val="24"/>
                <w:szCs w:val="24"/>
              </w:rPr>
              <w:t>非危险货物。</w:t>
              <w:br/>
              <w:t>避免温度高于+35℃，温度不可低于+5℃。</w:t>
              <w:br/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bookmarkStart w:id="0" w:name="_GoBack" w:colFirst="0" w:colLast="0"/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危险化学品安全管理条例，国务院令591号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GB/T 16483 化学品安全技术说明书内容和项目顺序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13690 化学品分类和危险性公示通则</w:t>
            </w:r>
            <w:r>
              <w:rPr>
                <w:rFonts w:hint="eastAsia" w:cs="Arial"/>
                <w:bCs/>
                <w:kern w:val="0"/>
                <w:sz w:val="24"/>
              </w:rPr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 w:eastAsia="宋体"/>
                <w:b w:val="0"/>
                <w:bCs w:val="0"/>
                <w:kern w:val="0"/>
                <w:sz w:val="24"/>
                <w:szCs w:val="24"/>
              </w:rPr>
              <w:t>GB 30000.2-29 化学品分类和标签规范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 w:eastAsia="宋体"/>
                <w:b w:val="0"/>
                <w:bCs w:val="0"/>
                <w:kern w:val="0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  <w:jc w:val="left"/>
            <w:jc w:val="left"/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PU-202C-MSDS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  <w:jc w:val="right"/>
            <w:jc w:val="right"/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修订日期：2026/10/30   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 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PU-202C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1D61814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2CE18CE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B6242B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21" Type="http://schemas.openxmlformats.org/officeDocument/2006/relationships/image" Target="media/image_ghs_1793326130231_0.png"/><Relationship Id="rId32" Type="http://schemas.openxmlformats.org/officeDocument/2006/relationships/image" Target="media/image_ghs_1793326130232_1.png"/><Relationship Id="rId42" Type="http://schemas.openxmlformats.org/officeDocument/2006/relationships/image" Target="media/image_ghs_1793326136809_0.png"/><Relationship Id="rId53" Type="http://schemas.openxmlformats.org/officeDocument/2006/relationships/image" Target="media/image_ghs_1793326136809_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2838</Words>
  <Characters>3308</Characters>
  <Lines>18</Lines>
  <Paragraphs>5</Paragraphs>
  <TotalTime>6</TotalTime>
  <ScaleCrop>false</ScaleCrop>
  <LinksUpToDate>false</LinksUpToDate>
  <CharactersWithSpaces>3521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BCF8C8DB900544889F7722A8FE645883_13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