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PU-202C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应用于服装革、鞋面革、箱包革、柔韧纺织品及塑料的表面涂层，纤维等上浆、纸张印刷等行业。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英德市国彩精细化工有限公司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广东省英德市白沙镇太平村更古坑凯迪工业园区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86-763-2811205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86-763-2811024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9795" w:type="dxa"/>
            <w:gridSpan w:val="2"/>
            <w:vAlign w:val="center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2.1 GHS危险性类别：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急性毒性（吸入），类别4（H332）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皮肤腐蚀/刺激，类别3（H316）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严重眼睛损伤/眼睛刺激性，类别2B（H320）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生殖毒性物质，类别1B（H360）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特异性靶器官系统毒性 一次接触，类别1（H370）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特异性靶器官系统毒性 反复接触，类别2（H373）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2.2 GHS标签要素：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GHS象形图：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0135" cy="1028065"/>
                  <wp:effectExtent l="0" t="0" r="5715" b="635"/>
                  <wp:docPr id="6" name="图片 6" descr="5fba3e5eb86cadebbd61a9a86c575918_5bf3c3455c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fba3e5eb86cadebbd61a9a86c575918_5bf3c3455c9b1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信号词：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危险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危险性说明：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H316造成轻微皮肤刺激。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H320造成眼睛刺激。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H332吸入有害。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H360可能对生育能力或胎儿造成伤害。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H370可能对器官的伤害。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H373长期或重复暴露可能会对器官造成伤害（肝）。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防范说明：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预防措施：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P201 在使用前获取特别指示。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P202 在阅读并了解所有安全预防措施之前，切勿操作与处置。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P260 不要吸入粉尘/烟/气体/气雾/蒸气/喷雾。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P264 操作后彻底清洗双手。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P270 使用本产品时不要进食、饮水或吸烟。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P271 只能在室外或通风良好处使用。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P280 戴防护手套/穿防护服/戴防护眼罩/戴防护面具。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事故响应：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P304+P340 如误吸入：将人转移到空气新鲜处，保持呼吸舒适体位。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P305+P351+P338 如果进入眼睛：用水小心地冲洗几分钟。如简便易行，摘除隐形眼镜，继续冲洗。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P308+P313 如果接触到或有疑虑：求医/就诊。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P337+P313 如眼刺激持续不退：求医/就诊。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P370+P378 火灾时：使用泡沫，干粉灭火器或二氧化碳灭火。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安全储存：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P405 储存处须加锁。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废弃处置：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P501 处置内装物/容器按照当地规章。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其他危险：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28.0~31.0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53.0~57.0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N,N－二甲基乙酰胺(DMAC)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127-19-5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15.0~16.0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二氧化碳（CO2），耐醇泡沫，化学干粉。大火时应用水喷洒。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燃烧时释放一氧化碳、二氧化碳、氮氧化物等。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泛蓝光半透明乳液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9.4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9.5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9.6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9.7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9.8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9.9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9.10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9.14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9.15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9.16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9.17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9.18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9.19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9.20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30±2%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  <w:gridSpan w:val="4"/>
            <w:tcW w:w="9781" w:type="dxa"/>
          </w:tcPr>
          <w:p>
            <w:pPr>
              <w:spacing w:line="300" w:lineRule="auto"/>
              <w:ind w:left="34" w:leftChars="16" w:right="480"/>
              <w:jc w:val="left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sz w:val="24"/>
                <w:szCs w:val="24"/>
              </w:rPr>
              <w:t xml:space="preserve">以下是N,N－二甲基乙酰胺毒理学数据：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半数致死剂量（LD50）/大鼠：3,000－6,000mg/kg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 雌性：8.81mg/l</w:t>
              <w:br/>
              <w:t>（此值仅用于有可吸入的颗粒形成的情况。）</w:t>
              <w:br/>
              <w:t>半数致死浓度（LC50）/4h/大鼠 雌性：2.2mg/l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半数致死剂量（LD50）/豚鼠：＜940mg/kg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主要皮肤刺激性: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分类：刺激皮肤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结果：轻度的皮肤刺激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分类：刺激眼睛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结果：轻度的眼睛刺激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物种：豚鼠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分类：不是皮肤过敏物质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结果：未引起实验室动物过敏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物种：人类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分类：不是皮肤过敏物质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结果：对志愿者做的皮肤接触试验证明没有过敏特性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在细菌细胞培养中没有引起基因损害。在哺乳类细胞培养中没有引起基因损害。有证据认为此物质不会在动物中引起基因损伤。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动物试验表明无生殖毒性。</w:t>
              <w:br/>
              <w:t>动物实验表明在低于那些引起母体中毒的量时，对胚胎有影响。降低了胚胎胎儿的成活力，胎儿发育缓慢（变异），胎儿畸形。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饮酒精饮料会加剧毒性影响。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重复剂量中毒：经口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病理变化：胃，睾丸，肝，肾，红血球异常减少。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重复剂量中毒：吸入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病理变化：肾、肝影响，视网膜损伤。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以下是N,N－二甲基乙酰胺生态毒理学数据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半数致死浓度（LC50）/96h/黑头呆鱼：1,500mg/l</w:t>
              <w:br/>
              <w:t>其他：</w:t>
              <w:br/>
              <w:t>半数致死有效浓度（EC50）/72h/藻类：＞500mg/l</w:t>
              <w:br/>
              <w:t>半数致死有效浓度（EC50）/48h/大型溞：＞500mg/l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英德市国彩精细化工有限公司 PU-202C-MSDS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修订日期：2026/10/30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PU-202C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3326130231_0.png"/><Relationship Id="rId32" Type="http://schemas.openxmlformats.org/officeDocument/2006/relationships/image" Target="media/image_ghs_1793326130232_1.png"/><Relationship Id="rId42" Type="http://schemas.openxmlformats.org/officeDocument/2006/relationships/image" Target="media/image_ghs_1793326136809_0.png"/><Relationship Id="rId53" Type="http://schemas.openxmlformats.org/officeDocument/2006/relationships/image" Target="media/image_ghs_1793326136809_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