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PU-202C</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textile coating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pPr>
            <w:r>
              <w:rPr>
                <w:rFonts w:ascii="Arial" w:hAnsi="Arial"/>
                <w:sz w:val="19"/>
                <w:b/>
              </w:rPr>
              <w:t xml:space="preserve">2.1 Classification of the substance or mixture:</w:t>
            </w:r>
          </w:p>
          <w:p>
            <w:pPr>
              <w:spacing w:line="300" w:lineRule="auto"/>
              <w:ind w:left="480"/>
            </w:pPr>
            <w:r>
              <w:rPr>
                <w:rFonts w:ascii="Arial" w:hAnsi="Arial"/>
                <w:sz w:val="19"/>
              </w:rPr>
              <w:t xml:space="preserve">Acute toxicity, Inhalation (Category 4), H332</w:t>
            </w:r>
          </w:p>
          <w:p>
            <w:pPr>
              <w:spacing w:line="300" w:lineRule="auto"/>
              <w:ind w:left="480"/>
            </w:pPr>
            <w:r>
              <w:rPr>
                <w:rFonts w:ascii="Arial" w:hAnsi="Arial"/>
                <w:sz w:val="19"/>
              </w:rPr>
              <w:t xml:space="preserve">Skin corrosion/irritation (Category 3), H316</w:t>
            </w:r>
          </w:p>
          <w:p>
            <w:pPr>
              <w:spacing w:line="300" w:lineRule="auto"/>
              <w:ind w:left="480"/>
            </w:pPr>
            <w:r>
              <w:rPr>
                <w:rFonts w:ascii="Arial" w:hAnsi="Arial"/>
                <w:sz w:val="19"/>
              </w:rPr>
              <w:t xml:space="preserve">Serious eye damage/eye irritation (Category 2B), H320</w:t>
            </w:r>
          </w:p>
          <w:p>
            <w:pPr>
              <w:spacing w:line="300" w:lineRule="auto"/>
              <w:ind w:left="480"/>
            </w:pPr>
            <w:r>
              <w:rPr>
                <w:rFonts w:ascii="Arial" w:hAnsi="Arial"/>
                <w:sz w:val="19"/>
              </w:rPr>
              <w:t xml:space="preserve">Reproductive toxicity (Category 1B), H360</w:t>
            </w:r>
          </w:p>
          <w:p>
            <w:pPr>
              <w:spacing w:line="300" w:lineRule="auto"/>
              <w:ind w:left="480"/>
            </w:pPr>
            <w:r>
              <w:rPr>
                <w:rFonts w:ascii="Arial" w:hAnsi="Arial"/>
                <w:sz w:val="19"/>
              </w:rPr>
              <w:t xml:space="preserve">Specific target organ toxicity - single exposure (Category 1), H370</w:t>
            </w:r>
          </w:p>
          <w:p>
            <w:pPr>
              <w:spacing w:line="300" w:lineRule="auto"/>
              <w:ind w:left="480"/>
            </w:pPr>
            <w:r>
              <w:rPr>
                <w:rFonts w:ascii="Arial" w:hAnsi="Arial"/>
                <w:sz w:val="19"/>
              </w:rPr>
              <w:t xml:space="preserve">Specific target organ toxicity - repeated exposure (Category 2), H373</w:t>
            </w:r>
          </w:p>
          <w:p>
            <w:pPr>
              <w:spacing w:line="300" w:lineRule="auto"/>
            </w:pPr>
            <w:r>
              <w:rPr>
                <w:rFonts w:ascii="Arial" w:hAnsi="Arial"/>
                <w:sz w:val="19"/>
                <w:b/>
              </w:rPr>
              <w:t xml:space="preserve">2.2 GHS Label Elements:</w:t>
            </w:r>
          </w:p>
          <w:p>
            <w:pPr>
              <w:spacing w:line="300" w:lineRule="auto"/>
            </w:pPr>
            <w:r>
              <w:rPr>
                <w:rFonts w:ascii="Arial" w:hAnsi="Arial"/>
                <w:sz w:val="19"/>
                <w:b/>
              </w:rPr>
              <w:t xml:space="preserve">GHS pictograms:</w:t>
            </w:r>
          </w:p>
          <w:p>
            <w:pPr>
              <w:jc w:val="center"/>
            </w:pPr>
            <w: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r>
              <w:drawing>
                <wp:inline distT="0" distB="0" distL="114300" distR="114300">
                  <wp:extent cx="1080135" cy="1028065"/>
                  <wp:effectExtent l="0" t="0" r="5715" b="635"/>
                  <wp:docPr id="6" name="图片 6" descr="5fba3e5eb86cadebbd61a9a86c575918_5bf3c3455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a3e5eb86cadebbd61a9a86c575918_5bf3c3455c9b1"/>
                          <pic:cNvPicPr>
                            <a:picLocks noChangeAspect="1"/>
                          </pic:cNvPicPr>
                        </pic:nvPicPr>
                        <pic:blipFill>
                          <a:blip r:embed="rId32"/>
                          <a:stretch>
                            <a:fillRect/>
                          </a:stretch>
                        </pic:blipFill>
                        <pic:spPr>
                          <a:xfrm>
                            <a:off x="0" y="0"/>
                            <a:ext cx="1080135" cy="1028065"/>
                          </a:xfrm>
                          <a:prstGeom prst="rect">
                            <a:avLst/>
                          </a:prstGeom>
                        </pic:spPr>
                      </pic:pic>
                    </a:graphicData>
                  </a:graphic>
                </wp:inline>
              </w:drawing>
            </w:r>
          </w:p>
          <w:p>
            <w:pPr>
              <w:spacing w:line="300" w:lineRule="auto"/>
            </w:pPr>
            <w:r>
              <w:rPr>
                <w:rFonts w:ascii="Arial" w:hAnsi="Arial"/>
                <w:sz w:val="19"/>
                <w:b/>
              </w:rPr>
              <w:t xml:space="preserve">Signal word:</w:t>
            </w:r>
            <w:r>
              <w:rPr>
                <w:rFonts w:ascii="Arial" w:hAnsi="Arial"/>
                <w:sz w:val="19"/>
              </w:rPr>
              <w:t xml:space="preserve"> Danger</w:t>
            </w:r>
          </w:p>
          <w:p>
            <w:pPr>
              <w:spacing w:line="300" w:lineRule="auto"/>
            </w:pPr>
            <w:r>
              <w:rPr>
                <w:rFonts w:ascii="Arial" w:hAnsi="Arial"/>
                <w:sz w:val="19"/>
                <w:b/>
              </w:rPr>
              <w:t xml:space="preserve">Hazard statements:</w:t>
            </w:r>
          </w:p>
          <w:p>
            <w:pPr>
              <w:spacing w:line="300" w:lineRule="auto"/>
              <w:ind w:left="480"/>
            </w:pPr>
            <w:r>
              <w:rPr>
                <w:rFonts w:ascii="Arial" w:hAnsi="Arial"/>
                <w:sz w:val="19"/>
              </w:rPr>
              <w:t xml:space="preserve">H316 Causes mild skin irritation.</w:t>
            </w:r>
          </w:p>
          <w:p>
            <w:pPr>
              <w:spacing w:line="300" w:lineRule="auto"/>
              <w:ind w:left="480"/>
            </w:pPr>
            <w:r>
              <w:rPr>
                <w:rFonts w:ascii="Arial" w:hAnsi="Arial"/>
                <w:sz w:val="19"/>
              </w:rPr>
              <w:t xml:space="preserve">H320 Causes eye irritation.</w:t>
            </w:r>
          </w:p>
          <w:p>
            <w:pPr>
              <w:spacing w:line="300" w:lineRule="auto"/>
              <w:ind w:left="480"/>
            </w:pPr>
            <w:r>
              <w:rPr>
                <w:rFonts w:ascii="Arial" w:hAnsi="Arial"/>
                <w:sz w:val="19"/>
              </w:rPr>
              <w:t xml:space="preserve">H332 Harmful if inhaled.</w:t>
            </w:r>
          </w:p>
          <w:p>
            <w:pPr>
              <w:spacing w:line="300" w:lineRule="auto"/>
              <w:ind w:left="480"/>
            </w:pPr>
            <w:r>
              <w:rPr>
                <w:rFonts w:ascii="Arial" w:hAnsi="Arial"/>
                <w:sz w:val="19"/>
              </w:rPr>
              <w:t xml:space="preserve">H360 May damage fertility or the unborn child.</w:t>
            </w:r>
          </w:p>
          <w:p>
            <w:pPr>
              <w:spacing w:line="300" w:lineRule="auto"/>
              <w:ind w:left="480"/>
            </w:pPr>
            <w:r>
              <w:rPr>
                <w:rFonts w:ascii="Arial" w:hAnsi="Arial"/>
                <w:sz w:val="19"/>
              </w:rPr>
              <w:t xml:space="preserve">H370 Causes damage to organs.</w:t>
            </w:r>
          </w:p>
          <w:p>
            <w:pPr>
              <w:spacing w:line="300" w:lineRule="auto"/>
              <w:ind w:left="480"/>
            </w:pPr>
            <w:r>
              <w:rPr>
                <w:rFonts w:ascii="Arial" w:hAnsi="Arial"/>
                <w:sz w:val="19"/>
              </w:rPr>
              <w:t xml:space="preserve">H373 May cause damage to organs (Liver) through prolonged or repeated exposure.</w:t>
            </w:r>
          </w:p>
          <w:p>
            <w:pPr>
              <w:spacing w:line="300" w:lineRule="auto"/>
            </w:pPr>
            <w:r>
              <w:rPr>
                <w:rFonts w:ascii="Arial" w:hAnsi="Arial"/>
                <w:sz w:val="19"/>
                <w:b/>
              </w:rPr>
              <w:t xml:space="preserve">Precautionary statements:</w:t>
            </w:r>
          </w:p>
          <w:p>
            <w:pPr>
              <w:spacing w:line="300" w:lineRule="auto"/>
              <w:ind w:left="480"/>
            </w:pPr>
            <w:r>
              <w:rPr>
                <w:rFonts w:ascii="Arial" w:hAnsi="Arial"/>
                <w:sz w:val="19"/>
                <w:b/>
              </w:rPr>
              <w:t xml:space="preserve">Prevention:</w:t>
            </w:r>
          </w:p>
          <w:p>
            <w:pPr>
              <w:spacing w:line="300" w:lineRule="auto"/>
              <w:ind w:left="960"/>
            </w:pPr>
            <w:r>
              <w:rPr>
                <w:rFonts w:ascii="Arial" w:hAnsi="Arial"/>
                <w:sz w:val="19"/>
              </w:rPr>
              <w:t xml:space="preserve">        P201 Obtain special instructions before use.</w:t>
            </w:r>
          </w:p>
          <w:p>
            <w:pPr>
              <w:spacing w:line="300" w:lineRule="auto"/>
              <w:ind w:left="960"/>
            </w:pPr>
            <w:r>
              <w:rPr>
                <w:rFonts w:ascii="Arial" w:hAnsi="Arial"/>
                <w:sz w:val="19"/>
              </w:rPr>
              <w:t xml:space="preserve">        P202 Do not handle until all safety precautions have been read and understood.</w:t>
            </w:r>
          </w:p>
          <w:p>
            <w:pPr>
              <w:spacing w:line="300" w:lineRule="auto"/>
              <w:ind w:left="960"/>
            </w:pPr>
            <w:r>
              <w:rPr>
                <w:rFonts w:ascii="Arial" w:hAnsi="Arial"/>
                <w:sz w:val="19"/>
              </w:rPr>
              <w:t xml:space="preserve">        P260 Do not breathe dust/fume/gas/mist/vapours/spray.</w:t>
            </w:r>
          </w:p>
          <w:p>
            <w:pPr>
              <w:spacing w:line="300" w:lineRule="auto"/>
              <w:ind w:left="960"/>
            </w:pPr>
            <w:r>
              <w:rPr>
                <w:rFonts w:ascii="Arial" w:hAnsi="Arial"/>
                <w:sz w:val="19"/>
              </w:rPr>
              <w:t xml:space="preserve">        P264 Wash hands thoroughly after handling.</w:t>
            </w:r>
          </w:p>
          <w:p>
            <w:pPr>
              <w:spacing w:line="300" w:lineRule="auto"/>
              <w:ind w:left="960"/>
            </w:pPr>
            <w:r>
              <w:rPr>
                <w:rFonts w:ascii="Arial" w:hAnsi="Arial"/>
                <w:sz w:val="19"/>
              </w:rPr>
              <w:t xml:space="preserve">        P270 Do not eat, drink or smoke when using this product.</w:t>
            </w:r>
          </w:p>
          <w:p>
            <w:pPr>
              <w:spacing w:line="300" w:lineRule="auto"/>
              <w:ind w:left="960"/>
            </w:pPr>
            <w:r>
              <w:rPr>
                <w:rFonts w:ascii="Arial" w:hAnsi="Arial"/>
                <w:sz w:val="19"/>
              </w:rPr>
              <w:t xml:space="preserve">        P271 Use only outdoors or in a well-ventilated area.</w:t>
            </w:r>
          </w:p>
          <w:p>
            <w:pPr>
              <w:spacing w:line="300" w:lineRule="auto"/>
              <w:ind w:left="960"/>
            </w:pPr>
            <w:r>
              <w:rPr>
                <w:rFonts w:ascii="Arial" w:hAnsi="Arial"/>
                <w:sz w:val="19"/>
              </w:rPr>
              <w:t xml:space="preserve">        P280 Wear protective gloves/clothing/eye protection/face protection.</w:t>
            </w:r>
          </w:p>
          <w:p>
            <w:pPr>
              <w:spacing w:line="300" w:lineRule="auto"/>
              <w:ind w:left="480"/>
            </w:pPr>
            <w:r>
              <w:rPr>
                <w:rFonts w:ascii="Arial" w:hAnsi="Arial"/>
                <w:sz w:val="19"/>
                <w:b/>
              </w:rPr>
              <w:t xml:space="preserve">Response:</w:t>
            </w:r>
          </w:p>
          <w:p>
            <w:pPr>
              <w:spacing w:line="300" w:lineRule="auto"/>
              <w:ind w:left="960"/>
            </w:pPr>
            <w:r>
              <w:rPr>
                <w:rFonts w:ascii="Arial" w:hAnsi="Arial"/>
                <w:sz w:val="19"/>
              </w:rPr>
              <w:t xml:space="preserve">        P304+P340 IF INHALED: Remove person to fresh air and keep comfortable for breathing.</w:t>
            </w:r>
          </w:p>
          <w:p>
            <w:pPr>
              <w:spacing w:line="300" w:lineRule="auto"/>
              <w:ind w:left="960"/>
            </w:pPr>
            <w:r>
              <w:rPr>
                <w:rFonts w:ascii="Arial" w:hAnsi="Arial"/>
                <w:sz w:val="19"/>
              </w:rPr>
              <w:t xml:space="preserve">        P305+P351+P338 IF IN EYES: Rinse cautiously with water for several minutes. Remove contact lenses, if present and easy to do. Continue rinsing.</w:t>
            </w:r>
          </w:p>
          <w:p>
            <w:pPr>
              <w:spacing w:line="300" w:lineRule="auto"/>
              <w:ind w:left="960"/>
            </w:pPr>
            <w:r>
              <w:rPr>
                <w:rFonts w:ascii="Arial" w:hAnsi="Arial"/>
                <w:sz w:val="19"/>
              </w:rPr>
              <w:t xml:space="preserve">        P308+P313 IF exposed or concerned: Get medical advice/attention.</w:t>
            </w:r>
          </w:p>
          <w:p>
            <w:pPr>
              <w:spacing w:line="300" w:lineRule="auto"/>
              <w:ind w:left="960"/>
            </w:pPr>
            <w:r>
              <w:rPr>
                <w:rFonts w:ascii="Arial" w:hAnsi="Arial"/>
                <w:sz w:val="19"/>
              </w:rPr>
              <w:t xml:space="preserve">        P337+P313 If eye irritation persists: Get medical advice/attention.</w:t>
            </w:r>
          </w:p>
          <w:p>
            <w:pPr>
              <w:spacing w:line="300" w:lineRule="auto"/>
              <w:ind w:left="960"/>
            </w:pPr>
            <w:r>
              <w:rPr>
                <w:rFonts w:ascii="Arial" w:hAnsi="Arial"/>
                <w:sz w:val="19"/>
              </w:rPr>
              <w:t xml:space="preserve">        P370+P378 In case of fire: Use foam, dry powder or carbon dioxide to extinguish.</w:t>
            </w:r>
          </w:p>
          <w:p>
            <w:pPr>
              <w:spacing w:line="300" w:lineRule="auto"/>
              <w:ind w:left="480"/>
            </w:pPr>
            <w:r>
              <w:rPr>
                <w:rFonts w:ascii="Arial" w:hAnsi="Arial"/>
                <w:sz w:val="19"/>
                <w:b/>
              </w:rPr>
              <w:t xml:space="preserve">Storage:</w:t>
            </w:r>
          </w:p>
          <w:p>
            <w:pPr>
              <w:spacing w:line="300" w:lineRule="auto"/>
              <w:ind w:left="960"/>
            </w:pPr>
            <w:r>
              <w:rPr>
                <w:rFonts w:ascii="Arial" w:hAnsi="Arial"/>
                <w:sz w:val="19"/>
              </w:rPr>
              <w:t xml:space="preserve">        P405 Store locked up.</w:t>
            </w:r>
          </w:p>
          <w:p>
            <w:pPr>
              <w:spacing w:line="300" w:lineRule="auto"/>
              <w:ind w:left="480"/>
            </w:pPr>
            <w:r>
              <w:rPr>
                <w:rFonts w:ascii="Arial" w:hAnsi="Arial"/>
                <w:sz w:val="19"/>
                <w:b/>
              </w:rPr>
              <w:t xml:space="preserve">Disposal:</w:t>
            </w:r>
          </w:p>
          <w:p>
            <w:pPr>
              <w:spacing w:line="300" w:lineRule="auto"/>
              <w:ind w:left="960"/>
            </w:pPr>
            <w:r>
              <w:rPr>
                <w:rFonts w:ascii="Arial" w:hAnsi="Arial"/>
                <w:sz w:val="19"/>
              </w:rPr>
              <w:t xml:space="preserve">        P501 Dispose of contents/container in accordance with local regulations.</w:t>
            </w:r>
          </w:p>
          <w:p>
            <w:pPr>
              <w:spacing w:line="300" w:lineRule="auto"/>
            </w:pPr>
            <w:r>
              <w:rPr>
                <w:rFonts w:ascii="Arial" w:hAnsi="Arial"/>
                <w:sz w:val="19"/>
                <w:b/>
              </w:rPr>
              <w:t xml:space="preserve">Other Hazards:</w:t>
            </w:r>
            <w:r>
              <w:rPr>
                <w:rFonts w:ascii="Arial" w:hAnsi="Arial"/>
                <w:sz w:val="19"/>
              </w:rPr>
              <w:t xml:space="preserve">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28.0~31.0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53.0~57.0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N,N-Dimethylacetamide (DMAC)</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127-19-5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15.0~16.0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30±2%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gridSpan w:val="4"/>
            <w:tcW w:w="9781" w:type="dxa"/>
          </w:tcPr>
          <w:p>
            <w:pPr>
              <w:spacing w:line="300" w:lineRule="auto"/>
              <w:jc w:val="left"/>
              <w:rPr>
                <w:sz w:val="19"/>
              </w:rPr>
            </w:pPr>
            <w:r>
              <w:rPr>
                <w:rFonts w:ascii="Arial" w:hAnsi="Arial" w:cs="Arial"/>
                <w:b w:val="0"/>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19"/>
              </w:rPr>
            </w:pPr>
            <w:r>
              <w:rPr>
                <w:rFonts w:ascii="Arial" w:hAnsi="Arial" w:cs="Arial"/>
                <w:b w:val="0"/>
                <w:sz w:val="19"/>
                <w:szCs w:val="19"/>
              </w:rPr>
              <w:t xml:space="preserve">The following is toxicological data for N,N-Dimethylacetamide:</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3,000-6,000mg/kg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8.81mg/l</w:t>
              <w:br/>
              <w:t>(applicable only where respirable aerosols are formed)</w:t>
              <w:br/>
              <w:t>LC50 / Inhalation / 4h / Rat: 2.2mg/l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Dermal / Guinea pig: ＜940mg/kg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skin</w:t>
            </w:r>
          </w:p>
          <w:p>
            <w:pPr>
              <w:spacing w:line="300" w:lineRule="auto"/>
              <w:rPr>
                <w:sz w:val="24"/>
              </w:rPr>
              <w:jc w:val="left"/>
            </w:pPr>
            <w:r>
              <w:rPr>
                <w:rFonts w:ascii="Arial" w:hAnsi="Arial" w:eastAsia="Arial" w:cs="Arial"/>
                <w:sz w:val="19"/>
                <w:szCs w:val="19"/>
              </w:rPr>
              <w:t xml:space="preserve">Result: Mild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eyes</w:t>
            </w:r>
          </w:p>
          <w:p>
            <w:pPr>
              <w:spacing w:line="300" w:lineRule="auto"/>
              <w:rPr>
                <w:sz w:val="24"/>
              </w:rPr>
              <w:jc w:val="left"/>
            </w:pPr>
            <w:r>
              <w:rPr>
                <w:rFonts w:ascii="Arial" w:hAnsi="Arial" w:eastAsia="Arial" w:cs="Arial"/>
                <w:sz w:val="19"/>
                <w:szCs w:val="19"/>
              </w:rPr>
              <w:t xml:space="preserve">Result: Mild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Guinea pig</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Did not cause sensitization in laboratory animals</w:t>
            </w:r>
          </w:p>
          <w:p>
            <w:pPr>
              <w:spacing w:line="300" w:lineRule="auto"/>
              <w:rPr>
                <w:sz w:val="24"/>
              </w:rPr>
              <w:jc w:val="left"/>
            </w:pPr>
            <w:r>
              <w:rPr>
                <w:rFonts w:ascii="Arial" w:hAnsi="Arial" w:eastAsia="Arial" w:cs="Arial"/>
                <w:sz w:val="19"/>
                <w:szCs w:val="19"/>
              </w:rPr>
              <w:t xml:space="preserve">Species: Human</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Patch test on human volunteers demonstrated no sensitizing properties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Did not cause genetic damage in bacterial cell culture. Did not cause genetic damage in mammalian cell culture. Evidence indicates substance does not cause genetic damage in animals.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 xml:space="preserve">Animal testing showed no reproductive toxicity. </w:t>
              <w:br/>
              <w:t>Animal experiments showed effects on the embryo at levels below those causing maternal toxicity. Reduced embryo-fetal viability, slow fetal development (variations), fetal malformations.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pPr>
              <w:spacing w:line="300" w:lineRule="auto"/>
              <w:rPr>
                <w:sz w:val="24"/>
              </w:rPr>
              <w:jc w:val="left"/>
            </w:pPr>
            <w:r>
              <w:rPr>
                <w:rFonts w:ascii="Arial" w:hAnsi="Arial" w:eastAsia="Arial" w:cs="Arial"/>
                <w:sz w:val="19"/>
                <w:szCs w:val="19"/>
              </w:rPr>
              <w:t xml:space="preserve">Consumption of alcoholic beverages may aggravate toxic effects.</w:t>
            </w:r>
          </w:p>
          <w:p>
            <w:pPr>
              <w:spacing w:line="300" w:lineRule="auto"/>
              <w:rPr>
                <w:sz w:val="24"/>
              </w:rPr>
              <w:jc w:val="left"/>
            </w:pPr>
            <w:r>
              <w:rPr>
                <w:rFonts w:ascii="Arial" w:hAnsi="Arial" w:eastAsia="Arial" w:cs="Arial"/>
                <w:sz w:val="19"/>
                <w:szCs w:val="19"/>
              </w:rPr>
              <w:t xml:space="preserve">Repeated dose toxicity: Oral</w:t>
            </w:r>
          </w:p>
          <w:p>
            <w:pPr>
              <w:spacing w:line="300" w:lineRule="auto"/>
              <w:rPr>
                <w:sz w:val="24"/>
              </w:rPr>
              <w:jc w:val="left"/>
            </w:pPr>
            <w:r>
              <w:rPr>
                <w:rFonts w:ascii="Arial" w:hAnsi="Arial" w:eastAsia="Arial" w:cs="Arial"/>
                <w:sz w:val="19"/>
                <w:szCs w:val="19"/>
              </w:rPr>
              <w:t xml:space="preserve">Pathological changes: stomach, testes, liver, kidneys, abnormal reduction of red blood cells.</w:t>
            </w:r>
          </w:p>
          <w:p>
            <w:pPr>
              <w:spacing w:line="300" w:lineRule="auto"/>
              <w:rPr>
                <w:sz w:val="24"/>
              </w:rPr>
              <w:jc w:val="left"/>
            </w:pPr>
            <w:r>
              <w:rPr>
                <w:rFonts w:ascii="Arial" w:hAnsi="Arial" w:eastAsia="Arial" w:cs="Arial"/>
                <w:sz w:val="19"/>
                <w:szCs w:val="19"/>
              </w:rPr>
              <w:t xml:space="preserve">Repeated dose toxicity: Inhalation</w:t>
            </w:r>
          </w:p>
          <w:p>
            <w:pPr>
              <w:spacing w:line="300" w:lineRule="auto"/>
              <w:rPr>
                <w:sz w:val="24"/>
              </w:rPr>
              <w:jc w:val="left"/>
            </w:pPr>
            <w:r>
              <w:rPr>
                <w:rFonts w:ascii="Arial" w:hAnsi="Arial" w:eastAsia="Arial" w:cs="Arial"/>
                <w:sz w:val="19"/>
                <w:szCs w:val="19"/>
              </w:rPr>
              <w:t xml:space="preserve">Pathological changes: kidney and liver effects, retinal damage.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The following are ecotoxicological data for N,N-Dimethylacetamide:</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Pimephales promelas (fathead minnow): 1,500mg/l</w:t>
              <w:br/>
              <w:t>Other:</w:t>
              <w:br/>
              <w:t>EC50 / 72 h / Algae: ＞500mg/l</w:t>
              <w:br/>
              <w:t>EC50 / 48 h / Daphnia magna: ＞500mg/l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PU-202C-MSDS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2026/10/30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PU-202C</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326145018_0.png"/><Relationship Id="rId32" Type="http://schemas.openxmlformats.org/officeDocument/2006/relationships/image" Target="media/image_ghs_1793326145018_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