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PU-608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应用于金属涂层、透水地坪、纸张涂层、木器漆、皮革涂饰等行业。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生殖毒性物质，类别1B（H360）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危险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H360可能对胎儿造成伤害。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预防措施：</w:t>
              <w:br/>
              <w:t>P201 在使用前获取特别指示。</w:t>
              <w:br/>
              <w:t>P202 在阅读并了解所有安全预防措施之前，切勿操作与处置。</w:t>
              <w:br/>
              <w:t>P280 戴防护手套/穿防护服/戴防护眼罩/戴防护面具。</w:t>
              <w:br/>
              <w:t>事故响应：</w:t>
              <w:br/>
              <w:t>P308+P313 如接触到或有疑虑：求医/就诊。</w:t>
              <w:br/>
              <w:t>安全储存：</w:t>
              <w:br/>
              <w:t>P405 储存处须加锁。</w:t>
              <w:br/>
              <w:t>废弃处置：</w:t>
              <w:br/>
              <w:t>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可能存在透皮吸收N－甲基吡咯烷酮的危险。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33.0~36.0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50.0~54.0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N－甲基吡咯烷酮(NMP)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872-50-4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13.0~14.0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二氧化碳（CO2），耐醇泡沫，化学干粉，大火时应用水喷洒。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燃烧时释放一氧化碳、二氧化碳、氮氧化物和痕量的氰化氢。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35±2%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rPr/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>
            <w:r>
              <w:t xml:space="preserve">以下是N－甲基吡咯烷酮毒理学数据：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半数致死剂量（LD50）/大鼠：4,150mg/kg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半数致死浓度（LC50）/1h/大鼠：＞5.1mg/l</w:t>
              <w:br/>
              <w:t>半数致死浓度（LC50）/4h/大鼠：＞5.1mg/l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半数致死剂量（LD50）/大鼠：＞5,000mg/kg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原发性皮肤刺激：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分类：刺激皮肤</w:t>
              <w:br/>
              <w:t>结果：造成皮肤刺激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分类：刺激眼睛</w:t>
              <w:br/>
              <w:t>结果：严重的眼睛刺激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物种：小鼠</w:t>
              <w:br/>
              <w:t>分类：不是皮肤过敏物质</w:t>
              <w:br/>
              <w:t>结果：未引起实验室动物过敏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对细菌或哺乳动物细胞培养未见致突变影响。 动物试验中未见致突变性影响。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在动物试验中，发现仅在射入高剂量的此物质后才有损坏生育的风险。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在动物试验显现出致畸效应。可能对胎儿造成伤害。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可能造成呼吸道刺激。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N－甲基吡咯烷酮有经皮吸收危险。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以下是N－甲基吡咯烷酮生态毒理学数据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半数致死浓度（LC50）/96h/虹鳟：500mg/l</w:t>
              <w:br/>
              <w:t>其他：</w:t>
              <w:br/>
              <w:t>半数致死有效浓度（EC50）/72h/藻类：＞500mg/l</w:t>
              <w:br/>
              <w:t>半数致死有效浓度（EC50）/24h/大型溞：＞1,000mg/l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生物降解性：73 %，28 d，即易生物降解。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PU-608-MSDS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修订日期：2023/09/27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PU-608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2722070183_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