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ind w:right="480"/>
              <w:rPr>
                <w:b/>
                <w:sz w:val="24"/>
              </w:rPr>
            </w:pPr>
            <w:r>
              <w:rPr>
                <w:rFonts w:ascii="Arial" w:hAnsi="Arial" w:eastAsia="Arial" w:cs="Arial"/>
                <w:sz w:val="19"/>
                <w:szCs w:val="19"/>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  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sz w:val="24"/>
                <w:szCs w:val="24"/>
                <w:lang w:val="en-US" w:eastAsia="zh-CN"/>
              </w:rPr>
            </w:pPr>
            <w:r>
              <w:rPr>
                <w:rFonts w:ascii="Arial" w:hAnsi="Arial" w:cs="Arial" w:eastAsia="Arial"/>
                <w:sz w:val="19"/>
                <w:szCs w:val="19"/>
                <w:lang w:val="en-US"/>
                <w:color w:val="1A1A1A"/>
                <w:sz w:val="19"/>
                <w:szCs w:val="19"/>
              </w:rPr>
              <w:t>Waterborne polyurethane dispersion PU-608</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ind w:left="457"/>
              <w:jc w:val="left"/>
              <w:textAlignment w:val="auto"/>
              <w:rPr>
                <w:b/>
                <w:sz w:val="24"/>
              </w:rPr>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val="en-US" w:eastAsia="zh-CN"/>
              </w:rPr>
            </w:pPr>
            <w:r>
              <w:rPr>
                <w:rFonts w:ascii="Arial" w:hAnsi="Arial" w:cs="Arial" w:eastAsia="Arial"/>
                <w:sz w:val="19"/>
                <w:szCs w:val="19"/>
                <w:lang w:val="en-US"/>
                <w:color w:val="1A1A1A"/>
                <w:sz w:val="19"/>
                <w:szCs w:val="19"/>
              </w:rPr>
              <w:t>Waterborne polyurethane resin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  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jc w:val="left"/>
              <w:textAlignment w:val="auto"/>
              <w:rPr>
                <w:rFonts w:hint="default" w:eastAsia="宋体"/>
                <w:sz w:val="24"/>
                <w:szCs w:val="24"/>
                <w:lang w:val="en-US" w:eastAsia="zh-CN"/>
              </w:rPr>
            </w:pPr>
            <w:r>
              <w:rPr>
                <w:rFonts w:ascii="Arial" w:hAnsi="Arial" w:cs="Arial" w:eastAsia="Arial"/>
                <w:sz w:val="19"/>
                <w:szCs w:val="19"/>
                <w:lang w:val="en-US"/>
                <w:color w:val="1A1A1A"/>
                <w:sz w:val="19"/>
                <w:szCs w:val="19"/>
              </w:rPr>
              <w:t>Used in leather finishing, textile coating, paper printing, adhesives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  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ind w:left="458" w:leftChars="218"/>
              <w:jc w:val="left"/>
              <w:textAlignment w:val="auto"/>
              <w:rPr>
                <w:b/>
                <w:sz w:val="24"/>
              </w:rPr>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cs="宋体"/>
                <w:sz w:val="24"/>
                <w:szCs w:val="24"/>
                <w:lang w:val="en-US" w:eastAsia="zh-CN"/>
              </w:rPr>
            </w:pPr>
            <w:r>
              <w:rPr>
                <w:rFonts w:cs="Arial" w:ascii="Arial" w:hAnsi="Arial" w:eastAsia="Arial"/>
                <w:sz w:val="19"/>
                <w:szCs w:val="19"/>
                <w:lang w:val="en-US"/>
                <w:color w:val="1A1A1A"/>
                <w:sz w:val="19"/>
                <w:szCs w:val="19"/>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ind w:left="456" w:leftChars="217" w:firstLine="2"/>
              <w:jc w:val="left"/>
              <w:textAlignment w:val="auto"/>
              <w:rPr>
                <w:sz w:val="24"/>
              </w:rPr>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eastAsia="zh-CN"/>
              </w:rPr>
            </w:pPr>
            <w:r>
              <w:rPr>
                <w:rFonts w:ascii="Arial" w:hAnsi="Arial" w:cs="Arial" w:eastAsia="Arial"/>
                <w:sz w:val="19"/>
                <w:szCs w:val="19"/>
                <w:lang w:val="en-US"/>
                <w:color w:val="1A1A1A"/>
                <w:sz w:val="19"/>
                <w:szCs w:val="19"/>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ascii="Arial" w:hAnsi="Arial" w:cs="Arial" w:eastAsia="Arial"/>
                <w:sz w:val="19"/>
                <w:szCs w:val="19"/>
                <w:lang w:val="en-US"/>
                <w:color w:val="1A1A1A"/>
                <w:sz w:val="19"/>
                <w:szCs w:val="19"/>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ascii="Arial" w:hAnsi="Arial" w:cs="Arial" w:eastAsia="Arial"/>
                <w:sz w:val="19"/>
                <w:szCs w:val="19"/>
                <w:lang w:val="en-US"/>
                <w:color w:val="1A1A1A"/>
                <w:sz w:val="19"/>
                <w:szCs w:val="19"/>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519" w:type="dxa"/>
            <w:tcBorders>
              <w:top w:val="single" w:color="auto" w:sz="4" w:space="0"/>
              <w:bottom w:val="dotted" w:color="auto" w:sz="4" w:space="0"/>
              <w:right w:val="dotted" w:color="auto" w:sz="4" w:space="0"/>
            </w:tcBorders>
            <w:shd w:val="clear" w:color="auto" w:fill="auto"/>
            <w:vAlign w:val="center"/>
          </w:tcPr>
          <w:p w14:paraId="0B9FE21E">
            <w:pPr>
              <w:keepNext/>
              <w:keepLines w:val="0"/>
              <w:pageBreakBefore w:val="0"/>
              <w:widowControl w:val="0"/>
              <w:kinsoku/>
              <w:wordWrap/>
              <w:overflowPunct/>
              <w:topLinePunct w:val="0"/>
              <w:autoSpaceDE/>
              <w:autoSpaceDN/>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2.1  Emergency Overview:</w:t>
            </w:r>
          </w:p>
        </w:tc>
        <w:tc>
          <w:tcPr>
            <w:tcW w:w="6276" w:type="dxa"/>
            <w:tcBorders>
              <w:top w:val="single" w:color="auto" w:sz="4" w:space="0"/>
              <w:left w:val="dotted" w:color="auto" w:sz="4" w:space="0"/>
              <w:bottom w:val="dotted" w:color="auto" w:sz="4" w:space="0"/>
            </w:tcBorders>
            <w:shd w:val="clear" w:color="auto" w:fill="auto"/>
            <w:vAlign w:val="center"/>
          </w:tcPr>
          <w:p w14:paraId="72BD6BE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Harmful if inhaled. Causes mild skin irritation. Causes eye irritation. May damage fertility or the unborn child. Causes damage to organs.</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5265585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2.2  GHS Hazard:</w:t>
            </w:r>
          </w:p>
          <w:p w14:paraId="7D7E670F">
            <w:pPr>
              <w:keepNext w:val="0"/>
              <w:keepLines w:val="0"/>
              <w:pageBreakBefore w:val="0"/>
              <w:widowControl w:val="0"/>
              <w:numPr>
                <w:ilvl w:val="1"/>
                <w:numId w:val="0"/>
              </w:numPr>
              <w:kinsoku/>
              <w:wordWrap/>
              <w:overflowPunct/>
              <w:topLinePunct w:val="0"/>
              <w:autoSpaceDE/>
              <w:autoSpaceDN/>
              <w:bidi w:val="0"/>
              <w:adjustRightInd/>
              <w:snapToGrid/>
              <w:spacing w:line="300" w:lineRule="auto"/>
              <w:ind w:firstLine="482" w:firstLineChars="200"/>
              <w:jc w:val="left"/>
              <w:textAlignment w:val="auto"/>
              <w:rPr>
                <w:rFonts w:hint="eastAsia" w:hAnsi="Arial" w:cs="Arial"/>
                <w:b/>
                <w:bCs/>
                <w:kern w:val="0"/>
                <w:sz w:val="24"/>
              </w:rPr>
            </w:pPr>
            <w:r>
              <w:rPr>
                <w:rFonts w:hAnsi="Arial" w:cs="Arial" w:ascii="Arial"/>
                <w:b/>
                <w:bCs/>
                <w:kern w:val="0"/>
                <w:sz w:val="19"/>
                <w:lang w:val="en-US"/>
                <w:szCs w:val="19"/>
                <w:color w:val="000000"/>
              </w:rPr>
              <w:t>Classification：</w:t>
            </w:r>
          </w:p>
        </w:tc>
        <w:tc>
          <w:tcPr>
            <w:tcW w:w="6276" w:type="dxa"/>
            <w:tcBorders>
              <w:top w:val="dotted" w:color="auto" w:sz="4" w:space="0"/>
              <w:left w:val="dotted" w:color="auto" w:sz="4" w:space="0"/>
              <w:bottom w:val="dotted" w:color="auto" w:sz="4" w:space="0"/>
            </w:tcBorders>
            <w:vAlign w:val="center"/>
          </w:tcPr>
          <w:p w14:paraId="5E05F77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Reproductive toxicity (Category 1B), H360</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3519" w:type="dxa"/>
            <w:tcBorders>
              <w:top w:val="dotted" w:color="auto" w:sz="4" w:space="0"/>
              <w:bottom w:val="dotted" w:color="auto" w:sz="4" w:space="0"/>
              <w:right w:val="dotted" w:color="auto" w:sz="4" w:space="0"/>
            </w:tcBorders>
            <w:vAlign w:val="center"/>
          </w:tcPr>
          <w:p w14:paraId="613D3BD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2.3  GHS Label Elements:</w:t>
            </w:r>
          </w:p>
        </w:tc>
        <w:tc>
          <w:tcPr>
            <w:tcW w:w="6276" w:type="dxa"/>
            <w:tcBorders>
              <w:top w:val="dotted" w:color="auto" w:sz="4" w:space="0"/>
              <w:left w:val="dotted" w:color="auto" w:sz="4" w:space="0"/>
              <w:bottom w:val="dotted" w:color="auto" w:sz="4" w:space="0"/>
            </w:tcBorders>
            <w:vAlign w:val="center"/>
          </w:tcPr>
          <w:p w14:paraId="103A673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F</w:t>
            </w: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B1CC2D8">
            <w:pPr>
              <w:keepNext w:val="0"/>
              <w:keepLines w:val="0"/>
              <w:pageBreakBefore w:val="0"/>
              <w:widowControl w:val="0"/>
              <w:numPr>
                <w:ilvl w:val="1"/>
                <w:numId w:val="0"/>
              </w:numPr>
              <w:kinsoku/>
              <w:wordWrap/>
              <w:overflowPunct/>
              <w:topLinePunct w:val="0"/>
              <w:autoSpaceDE/>
              <w:autoSpaceDN/>
              <w:bidi w:val="0"/>
              <w:adjustRightInd/>
              <w:snapToGrid/>
              <w:spacing w:line="300" w:lineRule="auto"/>
              <w:ind w:firstLine="482" w:firstLineChars="200"/>
              <w:jc w:val="left"/>
              <w:textAlignment w:val="auto"/>
              <w:rPr>
                <w:rFonts w:hint="eastAsia" w:hAnsi="Arial" w:cs="Arial"/>
                <w:b/>
                <w:bCs/>
                <w:kern w:val="0"/>
                <w:sz w:val="24"/>
              </w:rPr>
            </w:pPr>
            <w:r>
              <w:rPr>
                <w:rFonts w:ascii="Arial" w:hAnsi="Arial" w:eastAsia="Arial" w:cs="Arial"/>
                <w:b/>
                <w:sz w:val="19"/>
                <w:szCs w:val="19"/>
              </w:rPr>
              <w:t xml:space="preserve">GHS Pictograms:</w:t>
            </w:r>
          </w:p>
        </w:tc>
        <w:tc>
          <w:tcPr>
            <w:tcW w:w="6276" w:type="dxa"/>
            <w:tcBorders>
              <w:top w:val="dotted" w:color="auto" w:sz="4" w:space="0"/>
              <w:left w:val="dotted" w:color="auto" w:sz="4" w:space="0"/>
              <w:bottom w:val="dotted" w:color="auto" w:sz="4" w:space="0"/>
            </w:tcBorders>
            <w:vAlign w:val="center"/>
          </w:tcPr>
          <w:p w14:paraId="698B97E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eastAsia="Arial"/>
                <w:sz w:val="19"/>
                <w:szCs w:val="19"/>
                <w:lang w:val="en-US"/>
                <w:color w:val="1A1A1A"/>
                <w:sz w:val="19"/>
                <w:szCs w:val="19"/>
              </w:rPr>
              <w:t>[GHS07] [GHS08]</w:t>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70C5F57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2.4  Signal Word:</w:t>
            </w:r>
          </w:p>
        </w:tc>
        <w:tc>
          <w:tcPr>
            <w:tcW w:w="6276" w:type="dxa"/>
            <w:tcBorders>
              <w:top w:val="dotted" w:color="auto" w:sz="4" w:space="0"/>
              <w:left w:val="dotted" w:color="auto" w:sz="4" w:space="0"/>
              <w:bottom w:val="dotted" w:color="auto" w:sz="4" w:space="0"/>
            </w:tcBorders>
            <w:vAlign w:val="center"/>
          </w:tcPr>
          <w:p w14:paraId="6835187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eastAsia="Arial"/>
                <w:sz w:val="19"/>
                <w:szCs w:val="19"/>
                <w:lang w:val="en-US"/>
                <w:color w:val="1A1A1A"/>
                <w:sz w:val="19"/>
                <w:szCs w:val="19"/>
              </w:rPr>
              <w:t>Danger</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1B9F7D79">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2.5  Hazard Statements:</w:t>
            </w:r>
          </w:p>
        </w:tc>
        <w:tc>
          <w:tcPr>
            <w:tcW w:w="6276" w:type="dxa"/>
            <w:tcBorders>
              <w:top w:val="dotted" w:color="auto" w:sz="4" w:space="0"/>
              <w:left w:val="dotted" w:color="auto" w:sz="4" w:space="0"/>
              <w:bottom w:val="dotted" w:color="auto" w:sz="4" w:space="0"/>
            </w:tcBorders>
            <w:vAlign w:val="center"/>
          </w:tcPr>
          <w:p w14:paraId="7386FB9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Hazard statement(s):</w:t>
              <w:br/>
              <w:t>H360: May damage the unborn child.</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0CA834F1">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2.6  Precautionary Statements:</w:t>
            </w:r>
          </w:p>
        </w:tc>
        <w:tc>
          <w:tcPr>
            <w:tcW w:w="6276" w:type="dxa"/>
            <w:tcBorders>
              <w:top w:val="dotted" w:color="auto" w:sz="4" w:space="0"/>
              <w:left w:val="dotted" w:color="auto" w:sz="4" w:space="0"/>
              <w:bottom w:val="dotted" w:color="auto" w:sz="4" w:space="0"/>
            </w:tcBorders>
            <w:vAlign w:val="center"/>
          </w:tcPr>
          <w:p w14:paraId="400FB01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eastAsia="Arial"/>
                <w:sz w:val="19"/>
                <w:szCs w:val="19"/>
                <w:lang w:val="en-US"/>
                <w:color w:val="1A1A1A"/>
                <w:sz w:val="19"/>
                <w:szCs w:val="19"/>
              </w:rPr>
              <w:t>Precautionary statement(s):</w:t>
              <w:br/>
              <w:t>Prevention:</w:t>
              <w:br/>
              <w:t>P201: Obtain special instructions before use.</w:t>
              <w:br/>
              <w:t>P202: Do not handle until all safety precautions have been read and understood.</w:t>
              <w:br/>
              <w:t>P280: Wear protective gloves/protective clothing/eye protection/face protection.</w:t>
              <w:br/>
              <w:t>Response:</w:t>
              <w:br/>
              <w:t>P308 + P313: IF exposed or concerned: Get medical advice/attention.</w:t>
              <w:br/>
              <w:t>Storage:</w:t>
              <w:br/>
              <w:t>P405: Store locked up.</w:t>
              <w:br/>
              <w:t>Disposal:</w:t>
              <w:br/>
              <w:t>P501: Dispose of contents/container in accordance with local/regional/national/international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C1E34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2.7  Physical and Chemical Hazards:</w:t>
            </w:r>
          </w:p>
        </w:tc>
        <w:tc>
          <w:tcPr>
            <w:tcW w:w="6276" w:type="dxa"/>
            <w:tcBorders>
              <w:top w:val="dotted" w:color="auto" w:sz="4" w:space="0"/>
              <w:left w:val="dotted" w:color="auto" w:sz="4" w:space="0"/>
              <w:bottom w:val="dotted" w:color="auto" w:sz="4" w:space="0"/>
            </w:tcBorders>
            <w:vAlign w:val="center"/>
          </w:tcPr>
          <w:p w14:paraId="3569688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eastAsia="Arial"/>
                <w:sz w:val="19"/>
                <w:szCs w:val="19"/>
                <w:lang w:val="en-US"/>
                <w:color w:val="1A1A1A"/>
                <w:sz w:val="19"/>
                <w:szCs w:val="19"/>
              </w:rPr>
              <w:t>Risk of cutaneous absorption of N-Methyl-2-pyrrolidone (NMP).</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  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cs="Arial"/>
                <w:kern w:val="0"/>
                <w:sz w:val="24"/>
              </w:rPr>
            </w:pPr>
            <w:r>
              <w:rPr>
                <w:rFonts w:ascii="Arial" w:hAnsi="Arial" w:cs="Arial" w:eastAsia="Arial"/>
                <w:sz w:val="19"/>
                <w:szCs w:val="19"/>
                <w:lang w:val="en-US"/>
                <w:color w:val="1A1A1A"/>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  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u w:val="single"/>
              </w:rP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ascii="Arial" w:hAnsi="Arial" w:cs="Arial" w:eastAsia="Arial"/>
                <w:sz w:val="19"/>
                <w:u w:val="single"/>
                <w:lang w:val="en-US"/>
                <w:szCs w:val="19"/>
                <w:color w:val="1A1A1A"/>
                <w:b/>
                <w:sz w:val="19"/>
                <w:szCs w:val="19"/>
              </w:rPr>
              <w:t>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ascii="Arial" w:hAnsi="Arial" w:cs="Arial" w:eastAsia="Arial"/>
                <w:sz w:val="19"/>
                <w:u w:val="single"/>
                <w:lang w:val="en-US"/>
                <w:szCs w:val="19"/>
                <w:color w:val="1A1A1A"/>
                <w:b/>
                <w:sz w:val="19"/>
                <w:szCs w:val="19"/>
              </w:rPr>
              <w:t>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b/>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eastAsia="Arial"/>
                <w:sz w:val="19"/>
                <w:szCs w:val="19"/>
                <w:lang w:val="en-US"/>
                <w:color w:val="1A1A1A"/>
                <w:sz w:val="19"/>
                <w:szCs w:val="19"/>
              </w:rPr>
              <w:t>33.0~36.0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b/>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eastAsia="Arial"/>
                <w:sz w:val="19"/>
                <w:szCs w:val="19"/>
                <w:lang w:val="en-US"/>
                <w:color w:val="1A1A1A"/>
                <w:sz w:val="19"/>
                <w:szCs w:val="19"/>
              </w:rPr>
              <w:t>50.0~54.0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b/>
                <w:sz w:val="19"/>
                <w:szCs w:val="19"/>
              </w:rPr>
              <w:t xml:space="preserve">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eastAsia="Arial"/>
                <w:sz w:val="19"/>
                <w:szCs w:val="19"/>
                <w:lang w:val="en-US"/>
                <w:color w:val="1A1A1A"/>
                <w:sz w:val="19"/>
                <w:szCs w:val="19"/>
              </w:rPr>
              <w:t>13.0~14.0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  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eastAsia="Arial"/>
                <w:sz w:val="19"/>
                <w:szCs w:val="19"/>
                <w:lang w:val="en-US"/>
                <w:color w:val="1A1A1A"/>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  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  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  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eastAsia="Arial"/>
                <w:sz w:val="19"/>
                <w:szCs w:val="19"/>
                <w:lang w:val="en-US"/>
                <w:color w:val="1A1A1A"/>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  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  Suitable extinguishing:</w:t>
            </w:r>
          </w:p>
          <w:p w14:paraId="235432E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ascii="Arial" w:hAnsi="Arial" w:cs="Arial"/>
                <w:b/>
                <w:sz w:val="19"/>
                <w:lang w:val="en-US"/>
                <w:szCs w:val="19"/>
                <w:color w:val="000000"/>
              </w:rPr>
              <w:t>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  Unsuitable extinguishing:</w:t>
            </w:r>
          </w:p>
          <w:p w14:paraId="0E7DF0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ascii="Arial" w:hAnsi="Arial" w:cs="Arial"/>
                <w:b/>
                <w:sz w:val="19"/>
                <w:lang w:val="en-US"/>
                <w:szCs w:val="19"/>
                <w:color w:val="000000"/>
              </w:rPr>
              <w:t>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  Special hazards of:</w:t>
            </w:r>
          </w:p>
          <w:p w14:paraId="349E2E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default" w:eastAsia="宋体"/>
                <w:b/>
                <w:sz w:val="24"/>
                <w:lang w:val="en-US" w:eastAsia="zh-CN"/>
              </w:rPr>
            </w:pPr>
            <w:r>
              <w:rPr>
                <w:rFonts w:ascii="Arial" w:hAnsi="Arial" w:cs="Arial"/>
                <w:b/>
                <w:sz w:val="19"/>
                <w:lang w:val="en-US"/>
                <w:szCs w:val="19"/>
                <w:color w:val="000000"/>
              </w:rPr>
              <w:t>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  Firefighting precautions:</w:t>
            </w:r>
          </w:p>
          <w:p w14:paraId="7DD65C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ascii="Arial" w:hAnsi="Arial" w:cs="Arial"/>
                <w:b/>
                <w:sz w:val="19"/>
                <w:lang w:val="en-US"/>
                <w:szCs w:val="19"/>
                <w:color w:val="000000"/>
              </w:rPr>
              <w:t>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  Firefighting precautions:</w:t>
            </w:r>
          </w:p>
          <w:p w14:paraId="4FA2DD9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ascii="Arial" w:hAnsi="Arial" w:cs="Arial"/>
                <w:b/>
                <w:sz w:val="19"/>
                <w:lang w:val="en-US"/>
                <w:szCs w:val="19"/>
                <w:color w:val="000000"/>
              </w:rPr>
              <w:t>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  Environmental:</w:t>
            </w:r>
          </w:p>
          <w:p w14:paraId="2CE602CD">
            <w:pPr>
              <w:keepNext w:val="0"/>
              <w:keepLines w:val="0"/>
              <w:pageBreakBefore w:val="0"/>
              <w:numPr>
                <w:ilvl w:val="0"/>
                <w:numId w:val="0"/>
              </w:numPr>
              <w:kinsoku/>
              <w:wordWrap/>
              <w:overflowPunct/>
              <w:topLinePunct w:val="0"/>
              <w:bidi w:val="0"/>
              <w:snapToGrid/>
              <w:spacing w:line="300" w:lineRule="auto"/>
              <w:ind w:firstLine="482" w:firstLineChars="200"/>
              <w:jc w:val="left"/>
              <w:textAlignment w:val="auto"/>
              <w:rPr>
                <w:b/>
                <w:sz w:val="24"/>
              </w:rPr>
            </w:pPr>
            <w:r>
              <w:rPr>
                <w:rFonts w:ascii="Arial" w:hAnsi="Arial" w:cs="Arial"/>
                <w:b/>
                <w:sz w:val="19"/>
                <w:lang w:val="en-US"/>
                <w:szCs w:val="19"/>
                <w:color w:val="000000"/>
              </w:rPr>
              <w:t>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  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  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  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  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jc w:val="left"/>
              <w:rPr>
                <w:b/>
                <w:sz w:val="22"/>
                <w:szCs w:val="22"/>
              </w:rPr>
            </w:pPr>
            <w:r>
              <w:rPr>
                <w:rFonts w:cs="Arial" w:ascii="Arial" w:hAnsi="Arial" w:eastAsia="Arial"/>
                <w:kern w:val="0"/>
                <w:sz w:val="19"/>
                <w:szCs w:val="19"/>
                <w:lang w:val="en-US"/>
                <w:color w:val="1A1A1A"/>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ind w:left="3864" w:leftChars="234" w:hanging="3373" w:hangingChars="1400"/>
              <w:jc w:val="left"/>
              <w:textAlignment w:val="auto"/>
              <w:rPr>
                <w:b/>
                <w:sz w:val="24"/>
              </w:rPr>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jc w:val="left"/>
              <w:rPr>
                <w:rFonts w:hint="default" w:eastAsia="宋体"/>
                <w:b/>
                <w:sz w:val="22"/>
                <w:szCs w:val="22"/>
                <w:lang w:val="en-US" w:eastAsia="zh-CN"/>
              </w:rPr>
            </w:pPr>
            <w:r>
              <w:rPr>
                <w:rFonts w:cs="Arial" w:ascii="Arial" w:hAnsi="Arial" w:eastAsia="Arial"/>
                <w:kern w:val="0"/>
                <w:sz w:val="19"/>
                <w:szCs w:val="19"/>
                <w:lang w:val="en-US"/>
                <w:color w:val="1A1A1A"/>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ind w:left="479" w:leftChars="228" w:firstLine="0" w:firstLineChars="0"/>
              <w:jc w:val="left"/>
              <w:textAlignment w:val="auto"/>
              <w:rPr>
                <w:b/>
                <w:sz w:val="24"/>
              </w:rPr>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jc w:val="left"/>
              <w:rPr>
                <w:rFonts w:cs="Arial"/>
                <w:kern w:val="0"/>
                <w:sz w:val="22"/>
                <w:szCs w:val="22"/>
              </w:rPr>
            </w:pPr>
            <w:r>
              <w:rPr>
                <w:rFonts w:cs="Arial" w:ascii="Arial" w:hAnsi="Arial" w:eastAsia="Arial"/>
                <w:kern w:val="0"/>
                <w:sz w:val="19"/>
                <w:szCs w:val="19"/>
                <w:lang w:val="en-US"/>
                <w:color w:val="1A1A1A"/>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jc w:val="left"/>
              <w:rPr>
                <w:rFonts w:hint="eastAsia" w:hAnsi="Arial" w:cs="Arial"/>
                <w:kern w:val="0"/>
                <w:sz w:val="22"/>
                <w:szCs w:val="22"/>
              </w:rPr>
            </w:pPr>
            <w:r>
              <w:rPr>
                <w:rFonts w:ascii="Arial" w:hAnsi="Arial" w:cs="Arial" w:eastAsia="Arial"/>
                <w:kern w:val="0"/>
                <w:sz w:val="19"/>
                <w:szCs w:val="19"/>
                <w:lang w:val="en-US"/>
                <w:color w:val="1A1A1A"/>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jc w:val="left"/>
              <w:textAlignment w:val="auto"/>
              <w:rPr>
                <w:rFonts w:hint="eastAsia" w:hAnsi="Arial" w:cs="Arial"/>
                <w:kern w:val="0"/>
                <w:sz w:val="22"/>
                <w:szCs w:val="22"/>
              </w:rPr>
            </w:pPr>
            <w:r>
              <w:rPr>
                <w:rFonts w:ascii="Arial" w:hAnsi="Arial" w:cs="Arial" w:eastAsia="Arial"/>
                <w:kern w:val="0"/>
                <w:sz w:val="19"/>
                <w:szCs w:val="19"/>
                <w:lang w:val="en-US"/>
                <w:color w:val="1A1A1A"/>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jc w:val="left"/>
              <w:rPr>
                <w:rFonts w:hint="eastAsia" w:hAnsi="Arial" w:cs="Arial"/>
                <w:kern w:val="0"/>
                <w:sz w:val="22"/>
                <w:szCs w:val="22"/>
              </w:rPr>
            </w:pPr>
            <w:r>
              <w:rPr>
                <w:rFonts w:ascii="Arial" w:hAnsi="Arial" w:cs="Arial" w:eastAsia="Arial"/>
                <w:kern w:val="0"/>
                <w:sz w:val="19"/>
                <w:szCs w:val="19"/>
                <w:lang w:val="en-US"/>
                <w:color w:val="1A1A1A"/>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jc w:val="left"/>
              <w:rPr>
                <w:b/>
                <w:sz w:val="22"/>
                <w:szCs w:val="22"/>
              </w:rPr>
            </w:pPr>
            <w:r>
              <w:rPr>
                <w:rFonts w:hAnsi="Arial" w:cs="Arial" w:ascii="Arial" w:eastAsia="Arial"/>
                <w:kern w:val="0"/>
                <w:sz w:val="19"/>
                <w:szCs w:val="19"/>
                <w:lang w:val="en-US"/>
                <w:color w:val="1A1A1A"/>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jc w:val="left"/>
              <w:rPr>
                <w:rFonts w:hint="eastAsia" w:hAnsi="Arial" w:cs="Arial"/>
                <w:kern w:val="0"/>
                <w:sz w:val="22"/>
                <w:szCs w:val="22"/>
              </w:rPr>
            </w:pPr>
            <w:r>
              <w:rPr>
                <w:rFonts w:cs="Arial" w:ascii="Arial" w:hAnsi="Arial" w:eastAsia="Arial"/>
                <w:kern w:val="0"/>
                <w:sz w:val="19"/>
                <w:szCs w:val="19"/>
                <w:lang w:val="en-US"/>
                <w:color w:val="1A1A1A"/>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2"/>
                <w:szCs w:val="22"/>
              </w:rPr>
            </w:pPr>
            <w:r>
              <w:rPr>
                <w:rFonts w:cs="Arial" w:ascii="Arial" w:hAnsi="Arial" w:eastAsia="Arial"/>
                <w:kern w:val="0"/>
                <w:sz w:val="19"/>
                <w:szCs w:val="19"/>
                <w:lang w:val="en-US"/>
                <w:color w:val="1A1A1A"/>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  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jc w:val="left"/>
              <w:textAlignment w:val="auto"/>
              <w:rPr>
                <w:rFonts w:hint="default" w:hAnsi="Arial" w:cs="Times New Roman"/>
                <w:b/>
                <w:kern w:val="2"/>
                <w:sz w:val="22"/>
                <w:szCs w:val="22"/>
                <w:lang w:val="en-US" w:eastAsia="zh-CN" w:bidi="ar-SA"/>
              </w:rPr>
            </w:pPr>
            <w:r>
              <w:rPr>
                <w:rFonts w:cs="Arial" w:ascii="Arial" w:hAnsi="Arial" w:eastAsia="Arial"/>
                <w:kern w:val="0"/>
                <w:sz w:val="19"/>
                <w:szCs w:val="19"/>
                <w:lang w:val="en-US"/>
                <w:color w:val="1A1A1A"/>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  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  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  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  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  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  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  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  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  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ascii="Arial" w:hAnsi="Arial" w:eastAsia="Arial" w:cs="Arial"/>
                <w:b/>
                <w:sz w:val="19"/>
                <w:szCs w:val="19"/>
              </w:rPr>
              <w:t xml:space="preserve">9.10 Saturated vapour pressure:</w:t>
            </w:r>
          </w:p>
          <w:p w14:paraId="688290F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eastAsia" w:ascii="Times New Roman" w:hAnsi="Times New Roman" w:eastAsia="宋体" w:cs="Times New Roman"/>
                <w:b/>
                <w:kern w:val="2"/>
                <w:sz w:val="21"/>
                <w:szCs w:val="21"/>
                <w:lang w:val="en-US" w:eastAsia="zh-CN" w:bidi="ar-SA"/>
              </w:rPr>
            </w:pPr>
            <w:r>
              <w:rPr>
                <w:rFonts w:hAnsi="Arial" w:ascii="Arial" w:cs="Arial"/>
                <w:b/>
                <w:sz w:val="19"/>
                <w:lang w:val="en-US"/>
                <w:szCs w:val="19"/>
                <w:color w:val="000000"/>
              </w:rPr>
              <w:t>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  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  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  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  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ascii="Arial" w:hAnsi="Arial" w:eastAsia="Arial" w:cs="Arial"/>
                <w:b/>
                <w:sz w:val="19"/>
                <w:szCs w:val="19"/>
              </w:rPr>
              <w:t xml:space="preserve">9.15 log Pow (n-octanol/water partition coefficient):</w:t>
            </w:r>
          </w:p>
          <w:p w14:paraId="7082A74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Ansi="Arial" w:ascii="Arial" w:cs="Arial"/>
                <w:b/>
                <w:sz w:val="19"/>
                <w:lang w:val="en-US"/>
                <w:szCs w:val="19"/>
                <w:color w:val="000000"/>
              </w:rPr>
              <w:t>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ascii="Arial" w:hAnsi="Arial" w:eastAsia="Arial" w:cs="Arial"/>
                <w:b/>
                <w:sz w:val="19"/>
                <w:szCs w:val="19"/>
              </w:rPr>
              <w:t xml:space="preserve">9.16 Auto-ignition temperature:</w:t>
            </w:r>
          </w:p>
          <w:p w14:paraId="1AFB09C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Ansi="Arial" w:ascii="Arial" w:cs="Arial"/>
                <w:b/>
                <w:sz w:val="19"/>
                <w:lang w:val="en-US"/>
                <w:szCs w:val="19"/>
                <w:color w:val="000000"/>
              </w:rPr>
              <w:t>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  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cs="Arial" w:ascii="Arial" w:hAnsi="Arial" w:eastAsia="Arial"/>
                <w:kern w:val="0"/>
                <w:sz w:val="19"/>
                <w:szCs w:val="19"/>
                <w:lang w:val="en-US"/>
                <w:color w:val="1A1A1A"/>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ascii="Arial" w:hAnsi="Arial" w:eastAsia="Arial" w:cs="Arial"/>
                <w:b/>
                <w:sz w:val="19"/>
                <w:szCs w:val="19"/>
              </w:rPr>
              <w:t xml:space="preserve">9.18 Decomposition temperature:</w:t>
            </w:r>
          </w:p>
          <w:p w14:paraId="3D5CA8D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Ansi="Arial" w:ascii="Arial" w:cs="Arial"/>
                <w:b/>
                <w:sz w:val="19"/>
                <w:lang w:val="en-US"/>
                <w:szCs w:val="19"/>
                <w:color w:val="000000"/>
              </w:rPr>
              <w:t>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cs="Arial" w:ascii="Arial" w:hAnsi="Arial" w:eastAsia="Arial"/>
                <w:kern w:val="0"/>
                <w:sz w:val="19"/>
                <w:szCs w:val="19"/>
                <w:lang w:val="en-US"/>
                <w:color w:val="1A1A1A"/>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  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  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  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  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35±2%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  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  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  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eastAsia="zh-CN"/>
              </w:rPr>
            </w:pPr>
            <w:r>
              <w:rPr>
                <w:rFonts w:cs="Arial" w:ascii="Arial" w:hAnsi="Arial" w:eastAsia="Arial"/>
                <w:kern w:val="0"/>
                <w:sz w:val="19"/>
                <w:szCs w:val="19"/>
                <w:lang w:val="en-US"/>
                <w:color w:val="1A1A1A"/>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  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eastAsia="Arial"/>
                <w:kern w:val="0"/>
                <w:sz w:val="19"/>
                <w:szCs w:val="19"/>
                <w:lang w:val="en-US"/>
                <w:color w:val="1A1A1A"/>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ascii="Arial" w:hAnsi="Arial" w:eastAsia="Arial" w:cs="Arial"/>
                <w:sz w:val="19"/>
                <w:szCs w:val="19"/>
              </w:rPr>
              <w:t xml:space="preserve">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tcPr>
          <w:p w14:paraId="6C5E98D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ascii="Arial" w:hAnsi="Arial" w:eastAsia="Arial" w:cs="Arial"/>
                <w:sz w:val="19"/>
                <w:szCs w:val="19"/>
              </w:rPr>
              <w:t xml:space="preserve">The following are toxicological data for N-Methyl-2-pyrrolidone (NMP):</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11.1  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default" w:ascii="宋体" w:hAnsi="宋体" w:eastAsia="宋体" w:cs="宋体"/>
                <w:b/>
                <w:bCs/>
                <w:sz w:val="24"/>
                <w:szCs w:val="24"/>
                <w:lang w:val="en-US" w:eastAsia="zh-CN"/>
              </w:rPr>
            </w:pPr>
            <w:r>
              <w:rPr>
                <w:rFonts w:hAnsi="Arial" w:ascii="Arial" w:cs="Arial" w:eastAsia="Arial"/>
                <w:sz w:val="19"/>
                <w:lang w:val="en-US"/>
                <w:szCs w:val="19"/>
                <w:color w:val="1A1A1A"/>
                <w:sz w:val="19"/>
                <w:szCs w:val="19"/>
              </w:rPr>
              <w:t>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r>
              <w:rPr>
                <w:rFonts w:ascii="Arial" w:hAnsi="Arial" w:eastAsia="Arial" w:cs="Arial"/>
                <w:b/>
                <w:sz w:val="19"/>
                <w:szCs w:val="19"/>
              </w:rPr>
              <w:t xml:space="preserve">:</w:t>
            </w: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Ansi="Arial" w:ascii="Arial" w:cs="Arial" w:eastAsia="Arial"/>
                <w:sz w:val="19"/>
                <w:lang w:val="en-US"/>
                <w:szCs w:val="19"/>
                <w:color w:val="1A1A1A"/>
                <w:sz w:val="19"/>
                <w:szCs w:val="19"/>
              </w:rPr>
              <w:t>Inhalatio</w:t>
            </w:r>
            <w:r>
              <w:rPr>
                <w:rFonts w:hAnsi="Arial" w:ascii="Arial" w:cs="Arial" w:eastAsia="Arial"/>
                <w:sz w:val="19"/>
                <w:lang w:val="en-US"/>
                <w:szCs w:val="19"/>
                <w:color w:val="1A1A1A"/>
                <w:sz w:val="19"/>
                <w:szCs w:val="19"/>
              </w:rPr>
              <w:t>n</w:t>
            </w:r>
            <w:r>
              <w:rPr>
                <w:rFonts w:hAnsi="Arial" w:ascii="Arial" w:cs="Arial" w:eastAsia="Arial"/>
                <w:sz w:val="19"/>
                <w:lang w:val="en-US"/>
                <w:szCs w:val="19"/>
                <w:color w:val="1A1A1A"/>
                <w:sz w:val="19"/>
                <w:szCs w:val="19"/>
              </w:rPr>
              <w:t>:</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LC50 / Inhalation / 1h / Rat: ＞5.1mg/l</w:t>
              <w:br/>
              <w:t>LC50 / Inhalation / 4h / Rat: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r>
              <w:rPr>
                <w:rFonts w:ascii="Arial" w:hAnsi="Arial" w:eastAsia="Arial" w:cs="Arial"/>
                <w:b/>
                <w:sz w:val="19"/>
                <w:szCs w:val="19"/>
              </w:rPr>
              <w:t xml:space="preserve">:</w:t>
            </w: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Ansi="Arial" w:ascii="Arial" w:cs="Arial" w:eastAsia="Arial"/>
                <w:sz w:val="19"/>
                <w:lang w:val="en-US"/>
                <w:szCs w:val="19"/>
                <w:color w:val="1A1A1A"/>
                <w:sz w:val="19"/>
                <w:szCs w:val="19"/>
              </w:rPr>
              <w:t>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LD50 / Oral / Rat: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11.2  Primary skin irritation:</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Species: Rabbit</w:t>
              <w:br/>
              <w:t>Classification: Irritating to skin</w:t>
              <w:br/>
              <w:t>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11.3  Primary eye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Species: Rabbit</w:t>
              <w:br/>
              <w:t>Classification: Irritating to eyes</w:t>
              <w:br/>
              <w:t>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11.4  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Species: Mouse</w:t>
              <w:br/>
              <w:t>Classification: Not a skin sensitizer</w:t>
              <w:br/>
              <w:t>Result: Did not cause sensitization in laboratory animals</w:t>
            </w:r>
            <w:r>
              <w:rPr>
                <w:rFonts w:ascii="Arial" w:hAnsi="Arial" w:cs="Arial" w:eastAsia="Arial"/>
                <w:sz w:val="19"/>
                <w:szCs w:val="19"/>
                <w:lang w:val="en-US"/>
                <w:color w:val="1A1A1A"/>
                <w:sz w:val="19"/>
                <w:szCs w:val="19"/>
              </w:rPr>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11.5  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ind w:left="0" w:leftChars="0" w:right="0"/>
              <w:jc w:val="left"/>
              <w:textAlignment w:val="auto"/>
              <w:rPr>
                <w:rFonts w:hint="default" w:hAnsi="Arial"/>
                <w:sz w:val="24"/>
                <w:szCs w:val="24"/>
                <w:lang w:val="en-US" w:eastAsia="zh-CN"/>
              </w:rPr>
            </w:pPr>
            <w:r>
              <w:rPr>
                <w:rFonts w:ascii="Arial" w:hAnsi="Arial" w:cs="Arial" w:eastAsia="Arial"/>
                <w:sz w:val="19"/>
                <w:szCs w:val="19"/>
                <w:lang w:val="en-US"/>
                <w:color w:val="1A1A1A"/>
                <w:sz w:val="19"/>
                <w:szCs w:val="19"/>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11.6  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hAnsi="Arial"/>
                <w:sz w:val="24"/>
                <w:szCs w:val="24"/>
                <w:lang w:val="en-US" w:eastAsia="zh-CN"/>
              </w:rPr>
            </w:pPr>
            <w:r>
              <w:rPr>
                <w:rFonts w:hAnsi="Arial" w:ascii="Arial" w:cs="Arial" w:eastAsia="Arial"/>
                <w:sz w:val="19"/>
                <w:szCs w:val="19"/>
                <w:lang w:val="en-US"/>
                <w:color w:val="1A1A1A"/>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11.7  Reproductive toxicity:</w:t>
            </w: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3863229A">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hAnsi="Arial" w:eastAsia="宋体"/>
                <w:b/>
                <w:bCs/>
                <w:sz w:val="24"/>
                <w:lang w:val="en-US" w:eastAsia="zh-CN"/>
              </w:rPr>
            </w:pPr>
            <w:r>
              <w:rPr>
                <w:rFonts w:hAnsi="Arial" w:ascii="Arial" w:cs="Arial" w:eastAsia="Arial"/>
                <w:sz w:val="19"/>
                <w:lang w:val="en-US"/>
                <w:szCs w:val="19"/>
                <w:color w:val="1A1A1A"/>
                <w:sz w:val="19"/>
                <w:szCs w:val="19"/>
              </w:rPr>
              <w:t>Fertility</w:t>
            </w:r>
            <w:r>
              <w:rPr>
                <w:rFonts w:hAnsi="Arial" w:ascii="Arial" w:cs="Arial" w:eastAsia="Arial"/>
                <w:sz w:val="19"/>
                <w:lang w:val="en-US"/>
                <w:szCs w:val="19"/>
                <w:color w:val="1A1A1A"/>
                <w:sz w:val="19"/>
                <w:szCs w:val="19"/>
              </w:rPr>
              <w:t>：</w:t>
            </w:r>
          </w:p>
        </w:tc>
        <w:tc>
          <w:tcPr>
            <w:tcW w:w="4263" w:type="dxa"/>
            <w:tcBorders>
              <w:top w:val="dotted" w:color="auto" w:sz="4" w:space="0"/>
              <w:left w:val="dotted" w:color="auto" w:sz="4" w:space="0"/>
              <w:bottom w:val="dotted" w:color="auto" w:sz="4" w:space="0"/>
            </w:tcBorders>
            <w:vAlign w:val="center"/>
          </w:tcPr>
          <w:p w14:paraId="696E91D2">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ascii="宋体" w:hAnsi="宋体" w:eastAsia="宋体" w:cs="宋体"/>
                <w:sz w:val="24"/>
                <w:szCs w:val="24"/>
                <w:lang w:val="en-US" w:eastAsia="zh-CN"/>
              </w:rPr>
            </w:pPr>
            <w:r>
              <w:rPr>
                <w:rFonts w:ascii="Arial" w:hAnsi="Arial" w:cs="Arial" w:eastAsia="Arial"/>
                <w:sz w:val="19"/>
                <w:szCs w:val="19"/>
                <w:lang w:val="en-US"/>
                <w:color w:val="1A1A1A"/>
                <w:sz w:val="19"/>
                <w:szCs w:val="19"/>
              </w:rPr>
              <w:t>Animal experiments showed risks of impaired fertility only at high doses.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11.8  Specific target organ:</w:t>
            </w:r>
          </w:p>
          <w:p w14:paraId="79F4137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Ansi="Arial" w:ascii="Arial" w:cs="Arial"/>
                <w:b/>
                <w:sz w:val="19"/>
                <w:lang w:val="en-US"/>
                <w:szCs w:val="19"/>
                <w:color w:val="000000"/>
              </w:rPr>
              <w:t>toxicity (single/repeated</w:t>
            </w:r>
          </w:p>
          <w:p w14:paraId="466F4390">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Ansi="Arial" w:ascii="Arial" w:cs="Arial"/>
                <w:b/>
                <w:sz w:val="19"/>
                <w:lang w:val="en-US"/>
                <w:szCs w:val="19"/>
                <w:color w:val="000000"/>
              </w:rPr>
              <w:t>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default"/>
                <w:sz w:val="24"/>
                <w:szCs w:val="24"/>
                <w:lang w:val="en-US" w:eastAsia="zh-CN"/>
              </w:rPr>
            </w:pPr>
            <w:r>
              <w:rPr>
                <w:rFonts w:ascii="Arial" w:hAnsi="Arial" w:cs="Arial" w:eastAsia="Arial"/>
                <w:sz w:val="19"/>
                <w:szCs w:val="19"/>
                <w:lang w:val="en-US"/>
                <w:color w:val="1A1A1A"/>
                <w:sz w:val="19"/>
                <w:szCs w:val="19"/>
              </w:rPr>
              <w:t>May cause respiratory irritation.</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11.9  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11.10  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eastAsia="Arial" w:cs="Arial"/>
                <w:sz w:val="19"/>
                <w:szCs w:val="19"/>
              </w:rPr>
              <w:t xml:space="preserve">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  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  Persistence and:</w:t>
            </w:r>
          </w:p>
          <w:p w14:paraId="4F8F9209">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9" w:leftChars="229" w:hanging="198" w:hangingChars="82"/>
              <w:jc w:val="left"/>
              <w:textAlignment w:val="auto"/>
              <w:rPr>
                <w:b/>
                <w:sz w:val="24"/>
              </w:rPr>
            </w:pPr>
            <w:r>
              <w:rPr>
                <w:rFonts w:hAnsi="Arial" w:ascii="Arial" w:cs="Arial"/>
                <w:b/>
                <w:sz w:val="19"/>
                <w:lang w:val="en-US"/>
                <w:szCs w:val="19"/>
                <w:color w:val="000000"/>
              </w:rPr>
              <w:t>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eastAsia="Arial"/>
                <w:sz w:val="19"/>
                <w:szCs w:val="19"/>
                <w:lang w:val="en-US"/>
                <w:color w:val="1A1A1A"/>
                <w:sz w:val="19"/>
                <w:szCs w:val="19"/>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  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ind w:left="1"/>
              <w:jc w:val="both"/>
              <w:textAlignment w:val="auto"/>
              <w:rPr>
                <w:sz w:val="24"/>
                <w:szCs w:val="24"/>
              </w:rPr>
            </w:pPr>
            <w:r>
              <w:rPr>
                <w:rFonts w:ascii="Arial" w:hAnsi="Arial" w:cs="Arial" w:eastAsia="Arial"/>
                <w:sz w:val="19"/>
                <w:szCs w:val="19"/>
                <w:lang w:val="en-US"/>
                <w:color w:val="1A1A1A"/>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eastAsia="Arial" w:cs="Arial"/>
                <w:sz w:val="19"/>
                <w:szCs w:val="19"/>
              </w:rPr>
              <w:t xml:space="preserve">Dispose of in accordance with applicable national standards and national or local regulations.Within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sz w:val="24"/>
              </w:rP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hAnsi="Arial" w:ascii="Arial" w:cs="Arial" w:eastAsia="Arial"/>
                <w:sz w:val="19"/>
                <w:szCs w:val="19"/>
                <w:lang w:val="en-US"/>
                <w:color w:val="1A1A1A"/>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cs="Arial" w:eastAsia="Arial"/>
                <w:sz w:val="19"/>
                <w:szCs w:val="19"/>
                <w:lang w:val="en-US"/>
                <w:color w:val="1A1A1A"/>
                <w:sz w:val="19"/>
                <w:szCs w:val="19"/>
              </w:rPr>
            </w:r>
            <w:r>
              <w:rPr>
                <w:rFonts w:hAnsi="Arial" w:ascii="Arial" w:cs="Arial" w:eastAsia="Arial"/>
                <w:sz w:val="19"/>
                <w:szCs w:val="19"/>
                <w:lang w:val="en-US"/>
                <w:color w:val="1A1A1A"/>
                <w:sz w:val="19"/>
                <w:szCs w:val="19"/>
              </w:rPr>
            </w:r>
            <w:r>
              <w:rPr>
                <w:rFonts w:ascii="Arial" w:hAnsi="Arial" w:cs="Arial" w:eastAsia="Arial"/>
                <w:sz w:val="19"/>
                <w:szCs w:val="19"/>
                <w:lang w:val="en-US"/>
                <w:color w:val="1A1A1A"/>
                <w:sz w:val="19"/>
                <w:szCs w:val="19"/>
              </w:rPr>
            </w:r>
            <w:r>
              <w:rPr>
                <w:rFonts w:hAnsi="Arial" w:ascii="Arial" w:cs="Arial" w:eastAsia="Arial"/>
                <w:sz w:val="19"/>
                <w:szCs w:val="19"/>
                <w:lang w:val="en-US"/>
                <w:color w:val="1A1A1A"/>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  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ind w:left="34"/>
              <w:jc w:val="left"/>
              <w:textAlignment w:val="auto"/>
              <w:rPr>
                <w:sz w:val="24"/>
                <w:szCs w:val="24"/>
              </w:rPr>
            </w:pPr>
            <w:r>
              <w:rPr>
                <w:rFonts w:hAnsi="Arial" w:ascii="Arial" w:cs="Arial" w:eastAsia="Arial"/>
                <w:sz w:val="19"/>
                <w:szCs w:val="19"/>
                <w:lang w:val="en-US"/>
                <w:color w:val="1A1A1A"/>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  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Ansi="Arial" w:ascii="Arial" w:cs="Arial" w:eastAsia="Arial"/>
                <w:sz w:val="19"/>
                <w:szCs w:val="19"/>
                <w:lang w:val="en-US"/>
                <w:color w:val="1A1A1A"/>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  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Ansi="Arial" w:ascii="Arial" w:cs="Arial" w:eastAsia="Arial"/>
                <w:sz w:val="19"/>
                <w:szCs w:val="19"/>
                <w:lang w:val="en-US"/>
                <w:color w:val="1A1A1A"/>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  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sz w:val="24"/>
                <w:szCs w:val="24"/>
              </w:rPr>
            </w:pPr>
            <w:r>
              <w:rPr>
                <w:rFonts w:hAnsi="Arial" w:ascii="Arial" w:cs="Arial" w:eastAsia="Arial"/>
                <w:sz w:val="19"/>
                <w:szCs w:val="19"/>
                <w:lang w:val="en-US"/>
                <w:color w:val="1A1A1A"/>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jc w:val="left"/>
              <w:rPr>
                <w:rFonts w:hint="default" w:ascii="Times New Roman" w:hAnsi="Times New Roman" w:cs="Times New Roman"/>
                <w:bCs/>
                <w:kern w:val="0"/>
                <w:sz w:val="24"/>
                <w:szCs w:val="24"/>
              </w:rPr>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ascii="Arial" w:hAnsi="Arial" w:eastAsia="Arial" w:cs="Arial"/>
                <w:sz w:val="19"/>
                <w:szCs w:val="19"/>
              </w:rPr>
              <w:t xml:space="preserve">Other provisions: </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ascii="Arial" w:hAnsi="Arial" w:eastAsia="Arial" w:cs="Arial"/>
                <w:sz w:val="19"/>
                <w:szCs w:val="19"/>
              </w:rPr>
              <w:t xml:space="preserve">Complies with the following regulations: </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jc w:val="left"/>
              <w:textAlignment w:val="auto"/>
              <w:rPr>
                <w:rFonts w:cs="Arial"/>
                <w:bCs/>
                <w:kern w:val="0"/>
                <w:sz w:val="24"/>
              </w:rPr>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pPr>
          <w:r>
            <w:rPr>
              <w:rFonts w:hint="eastAsia"/>
              <w:kern w:val="0"/>
              <w:sz w:val="21"/>
              <w:szCs w:val="21"/>
            </w:rPr>
            <w:t>Yingde Guocai New Material Co., Ltd. PU-608-MSDS</w:t>
          </w:r>
        </w:p>
      </w:tc>
      <w:tc>
        <w:tcPr>
          <w:tcW w:w="4984" w:type="dxa"/>
        </w:tcPr>
        <w:p w14:paraId="32B3FF4C">
          <w:pPr>
            <w:ind w:firstLine="8730" w:firstLineChars="4850"/>
            <w:jc w:val="right"/>
            <w:rPr>
              <w:kern w:val="0"/>
              <w:sz w:val="20"/>
            </w:rPr>
          </w:pPr>
          <w:r>
            <w:rPr>
              <w:rFonts w:ascii="Arial" w:eastAsia="楷体_GB2312"/>
              <w:color w:val="7F7F7F"/>
              <w:kern w:val="0"/>
              <w:sz w:val="18"/>
              <w:szCs w:val="18"/>
            </w:rPr>
            <w:t>Revision Date: 2023/09/27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PU-608</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