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rPr>
                <w:b/>
                <w:sz w:val="24"/>
              </w:rPr>
              <w:jc w:val="left"/>
            </w:pPr>
            <w:r>
              <w:rPr>
                <w:rFonts w:ascii="Arial" w:hAnsi="Arial" w:eastAsia="Arial" w:cs="Arial"/>
                <w:sz w:val="19"/>
                <w:szCs w:val="19"/>
                <w:b/>
              </w:rPr>
              <w:t xml:space="preserve">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1.1</w:t>
              <w:tab/>
            </w:r>
            <w:r>
              <w:rPr>
                <w:rFonts w:ascii="Arial" w:hAnsi="Arial" w:eastAsia="Arial" w:cs="Arial"/>
                <w:b/>
                <w:sz w:val="19"/>
                <w:szCs w:val="19"/>
              </w:rPr>
              <w:t xml:space="preserve">Product 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sz w:val="24"/>
                <w:szCs w:val="24"/>
                <w:lang w:val="en-US" w:eastAsia="zh-CN"/>
              </w:rPr>
              <w:jc w:val="left"/>
            </w:pPr>
            <w:r>
              <w:rPr>
                <w:bCs w:val="0"/>
                <w:rFonts w:ascii="Arial" w:hAnsi="Arial" w:eastAsia="Arial" w:cs="Arial"/>
                <w:sz w:val="19"/>
                <w:szCs w:val="19"/>
              </w:rPr>
              <w:t>Waterborne polyurethane dispersion PU-608</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Chemical category:</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val="en-US" w:eastAsia="zh-CN"/>
              </w:rPr>
              <w:jc w:val="left"/>
            </w:pPr>
            <w:r>
              <w:rPr>
                <w:bCs w:val="0"/>
                <w:lang w:val="en-US" w:eastAsia="zh-CN"/>
                <w:rFonts w:ascii="Arial" w:hAnsi="Arial" w:eastAsia="Arial" w:cs="Arial"/>
                <w:sz w:val="19"/>
                <w:szCs w:val="19"/>
              </w:rPr>
              <w:t>Modified polyurethane resin aqueous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w:t>
              <w:tab/>
            </w:r>
            <w:r>
              <w:rPr>
                <w:rFonts w:ascii="Arial" w:hAnsi="Arial" w:eastAsia="Arial" w:cs="Arial"/>
                <w:b/>
                <w:sz w:val="19"/>
                <w:szCs w:val="19"/>
              </w:rPr>
              <w:t xml:space="preserve">Product use suggestions and restrictions:</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textAlignment w:val="auto"/>
              <w:rPr>
                <w:rFonts w:hint="default" w:eastAsia="宋体"/>
                <w:sz w:val="24"/>
                <w:szCs w:val="24"/>
                <w:lang w:val="en-US" w:eastAsia="zh-CN"/>
              </w:rPr>
              <w:jc w:val="left"/>
            </w:pPr>
            <w:r>
              <w:rPr>
                <w:bCs w:val="0"/>
                <w:lang w:val="en-US" w:eastAsia="zh-CN"/>
                <w:rFonts w:ascii="Arial" w:hAnsi="Arial" w:eastAsia="Arial" w:cs="Arial"/>
                <w:sz w:val="19"/>
                <w:szCs w:val="19"/>
              </w:rPr>
              <w:t>Used in metal coatings, permeable flooring, paper coating, wood coatings, leather finishing and other industries.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1.3</w:t>
              <w:tab/>
            </w:r>
            <w:r>
              <w:rPr>
                <w:rFonts w:ascii="Arial" w:hAnsi="Arial" w:eastAsia="Arial" w:cs="Arial"/>
                <w:b/>
                <w:sz w:val="19"/>
                <w:szCs w:val="19"/>
              </w:rPr>
              <w:t xml:space="preserve">Supplier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Name of supplier:</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cs="宋体"/>
                <w:sz w:val="24"/>
                <w:szCs w:val="24"/>
                <w:lang w:val="en-US" w:eastAsia="zh-CN"/>
              </w:rPr>
              <w:jc w:val="left"/>
            </w:pPr>
            <w:r>
              <w:rPr>
                <w:bCs w:val="0"/>
                <w:lang w:val="en-US" w:eastAsia="zh-CN"/>
                <w:rFonts w:ascii="Arial" w:hAnsi="Arial" w:eastAsia="Arial" w:cs="Arial"/>
                <w:sz w:val="19"/>
                <w:szCs w:val="19"/>
              </w:rPr>
              <w:t>Yingde Guocai New Material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rPr>
              <w:ind w:left="420"/>
            </w:pPr>
            <w:r>
              <w:rPr>
                <w:rFonts w:ascii="Arial" w:hAnsi="Arial" w:eastAsia="Arial" w:cs="Arial"/>
                <w:b/>
                <w:sz w:val="19"/>
                <w:szCs w:val="19"/>
              </w:rPr>
              <w:t xml:space="preserve">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eastAsia="zh-CN"/>
              </w:rPr>
              <w:jc w:val="left"/>
            </w:pPr>
            <w:r>
              <w:rPr>
                <w:bCs w:val="0"/>
                <w:lang w:val="en-US" w:eastAsia="zh-CN"/>
                <w:rFonts w:ascii="Arial" w:hAnsi="Arial" w:eastAsia="Arial" w:cs="Arial"/>
                <w:sz w:val="19"/>
                <w:szCs w:val="19"/>
              </w:rPr>
              <w:t>Kaidi Industrial Park, Genggukeng, Taiping Village, Baisha Town, Yingde, Guangdong, China</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Tel:</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86-763-2811205</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Fax:</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86-763-2811024</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rPr>
                <w:b/>
                <w:sz w:val="24"/>
              </w:rPr>
            </w:pPr>
            <w:r>
              <w:rPr>
                <w:rFonts w:ascii="Arial" w:hAnsi="Arial" w:eastAsia="Arial" w:cs="Arial"/>
                <w:b/>
                <w:sz w:val="22"/>
                <w:szCs w:val="22"/>
              </w:rPr>
              <w:t xml:space="preserve">2.Hazards Identification</w:t>
            </w:r>
          </w:p>
        </w:tc>
      </w:tr>
      <w:tr w14:paraId="58CFEA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5265585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2.1</w:t>
              <w:tab/>
            </w:r>
            <w:r>
              <w:rPr>
                <w:rFonts w:ascii="Arial" w:hAnsi="Arial" w:eastAsia="Arial" w:cs="Arial"/>
                <w:b/>
                <w:sz w:val="19"/>
                <w:szCs w:val="19"/>
              </w:rPr>
              <w:t xml:space="preserve">GHS Hazard Classification:</w:t>
            </w:r>
          </w:p>
        </w:tc>
        <w:tc>
          <w:tcPr>
            <w:tcW w:w="6276" w:type="dxa"/>
            <w:tcBorders>
              <w:top w:val="dotted" w:color="auto" w:sz="4" w:space="0"/>
              <w:left w:val="dotted" w:color="auto" w:sz="4" w:space="0"/>
              <w:bottom w:val="dotted" w:color="auto" w:sz="4" w:space="0"/>
            </w:tcBorders>
            <w:vAlign w:val="center"/>
          </w:tcPr>
          <w:p w14:paraId="5E05F77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Reproductive toxicity (Category 1B), H360</w:t>
            </w:r>
          </w:p>
        </w:tc>
      </w:tr>
      <w:tr w14:paraId="1BAEF0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3" w:hRule="atLeast"/>
        </w:trPr>
        <w:tc>
          <w:tcPr>
            <w:tcW w:w="3519" w:type="dxa"/>
            <w:tcBorders>
              <w:top w:val="dotted" w:color="auto" w:sz="4" w:space="0"/>
              <w:bottom w:val="dotted" w:color="auto" w:sz="4" w:space="0"/>
              <w:right w:val="dotted" w:color="auto" w:sz="4" w:space="0"/>
            </w:tcBorders>
            <w:vAlign w:val="center"/>
          </w:tcPr>
          <w:p w14:paraId="613D3BD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2.2</w:t>
              <w:tab/>
            </w:r>
            <w:r>
              <w:rPr>
                <w:rFonts w:ascii="Arial" w:hAnsi="Arial" w:eastAsia="Arial" w:cs="Arial"/>
                <w:b/>
                <w:sz w:val="19"/>
                <w:szCs w:val="19"/>
              </w:rPr>
              <w:t xml:space="preserve">GHS Label Elements:</w:t>
            </w:r>
          </w:p>
        </w:tc>
        <w:tc>
          <w:tcPr>
            <w:tcW w:w="6276" w:type="dxa"/>
            <w:tcBorders>
              <w:top w:val="dotted" w:color="auto" w:sz="4" w:space="0"/>
              <w:left w:val="dotted" w:color="auto" w:sz="4" w:space="0"/>
              <w:bottom w:val="dotted" w:color="auto" w:sz="4" w:space="0"/>
            </w:tcBorders>
            <w:vAlign w:val="center"/>
          </w:tcPr>
          <w:p w14:paraId="103A673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
            </w:r>
          </w:p>
        </w:tc>
      </w:tr>
      <w:tr w14:paraId="432D88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B1CC2D8">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pPr>
            <w:r>
              <w:rPr>
                <w:rFonts w:ascii="Arial" w:hAnsi="Arial" w:eastAsia="Arial" w:cs="Arial"/>
                <w:b/>
                <w:sz w:val="19"/>
                <w:szCs w:val="19"/>
              </w:rPr>
              <w:t xml:space="preserve">GHS Pictograms:</w:t>
            </w:r>
          </w:p>
        </w:tc>
        <w:tc>
          <w:tcPr>
            <w:tcW w:w="6276" w:type="dxa"/>
            <w:tcBorders>
              <w:top w:val="dotted" w:color="auto" w:sz="4" w:space="0"/>
              <w:left w:val="dotted" w:color="auto" w:sz="4" w:space="0"/>
              <w:bottom w:val="dotted" w:color="auto" w:sz="4" w:space="0"/>
            </w:tcBorders>
            <w:vAlign w:val="center"/>
          </w:tcPr>
          <w:p w14:paraId="698B97E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rFonts w:ascii="Arial" w:hAnsi="Arial" w:eastAsia="Arial" w:cs="Arial"/>
                <w:sz w:val="19"/>
                <w:szCs w:val="19"/>
              </w:rPr>
              <w:drawing>
                <wp:inline distT="0" distB="0" distL="114300" distR="114300">
                  <wp:extent cx="1080135" cy="1035050"/>
                  <wp:effectExtent l="0" t="0" r="5715" b="12700"/>
                  <wp:docPr id="7" name="图片 7" descr="a7b9e896460dc52dc6206ee221eea8f5_5bf3c34a9a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b9e896460dc52dc6206ee221eea8f5_5bf3c34a9a96f"/>
                          <pic:cNvPicPr>
                            <a:picLocks noChangeAspect="1"/>
                          </pic:cNvPicPr>
                        </pic:nvPicPr>
                        <pic:blipFill>
                          <a:blip r:embed="rId21"/>
                          <a:stretch>
                            <a:fillRect/>
                          </a:stretch>
                        </pic:blipFill>
                        <pic:spPr>
                          <a:xfrm>
                            <a:off x="0" y="0"/>
                            <a:ext cx="1080135" cy="1035050"/>
                          </a:xfrm>
                          <a:prstGeom prst="rect">
                            <a:avLst/>
                          </a:prstGeom>
                        </pic:spPr>
                      </pic:pic>
                    </a:graphicData>
                  </a:graphic>
                </wp:inline>
              </w:drawing>
            </w:r>
          </w:p>
        </w:tc>
      </w:tr>
      <w:tr w14:paraId="0D72AC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70C5F57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2.3</w:t>
              <w:tab/>
            </w:r>
            <w:r>
              <w:rPr>
                <w:rFonts w:ascii="Arial" w:hAnsi="Arial" w:eastAsia="Arial" w:cs="Arial"/>
                <w:b/>
                <w:sz w:val="19"/>
                <w:szCs w:val="19"/>
              </w:rPr>
              <w:t xml:space="preserve">Signal Word:</w:t>
            </w:r>
          </w:p>
        </w:tc>
        <w:tc>
          <w:tcPr>
            <w:tcW w:w="6276" w:type="dxa"/>
            <w:tcBorders>
              <w:top w:val="dotted" w:color="auto" w:sz="4" w:space="0"/>
              <w:left w:val="dotted" w:color="auto" w:sz="4" w:space="0"/>
              <w:bottom w:val="dotted" w:color="auto" w:sz="4" w:space="0"/>
            </w:tcBorders>
            <w:vAlign w:val="center"/>
          </w:tcPr>
          <w:p w14:paraId="6835187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Danger</w:t>
            </w:r>
          </w:p>
        </w:tc>
      </w:tr>
      <w:tr w14:paraId="40FDA4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1B9F7D79">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2.4</w:t>
              <w:tab/>
            </w:r>
            <w:r>
              <w:rPr>
                <w:rFonts w:ascii="Arial" w:hAnsi="Arial" w:eastAsia="Arial" w:cs="Arial"/>
                <w:b/>
                <w:sz w:val="19"/>
                <w:szCs w:val="19"/>
              </w:rPr>
              <w:t xml:space="preserve">Hazard Statements:</w:t>
            </w:r>
          </w:p>
        </w:tc>
        <w:tc>
          <w:tcPr>
            <w:tcW w:w="6276" w:type="dxa"/>
            <w:tcBorders>
              <w:top w:val="dotted" w:color="auto" w:sz="4" w:space="0"/>
              <w:left w:val="dotted" w:color="auto" w:sz="4" w:space="0"/>
              <w:bottom w:val="dotted" w:color="auto" w:sz="4" w:space="0"/>
            </w:tcBorders>
            <w:vAlign w:val="center"/>
          </w:tcPr>
          <w:p w14:paraId="7386FB9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H360: May damage the unborn child.</w:t>
            </w:r>
          </w:p>
        </w:tc>
      </w:tr>
      <w:tr w14:paraId="76C1C0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0CA834F1">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2.5</w:t>
              <w:tab/>
            </w:r>
            <w:r>
              <w:rPr>
                <w:rFonts w:ascii="Arial" w:hAnsi="Arial" w:eastAsia="Arial" w:cs="Arial"/>
                <w:b/>
                <w:sz w:val="19"/>
                <w:szCs w:val="19"/>
              </w:rPr>
              <w:t xml:space="preserve">Precautionary Statements:</w:t>
            </w:r>
          </w:p>
        </w:tc>
        <w:tc>
          <w:tcPr>
            <w:tcW w:w="6276" w:type="dxa"/>
            <w:tcBorders>
              <w:top w:val="dotted" w:color="auto" w:sz="4" w:space="0"/>
              <w:left w:val="dotted" w:color="auto" w:sz="4" w:space="0"/>
              <w:bottom w:val="dotted" w:color="auto" w:sz="4" w:space="0"/>
            </w:tcBorders>
            <w:vAlign w:val="center"/>
          </w:tcPr>
          <w:p>
            <w:pPr>
              <w:jc w:val="left"/>
            </w:pPr>
            <w:r>
              <w:rPr>
                <w:rFonts w:ascii="Arial" w:hAnsi="Arial" w:eastAsia="Arial" w:cs="Arial"/>
                <w:b/>
                <w:sz w:val="19"/>
                <w:szCs w:val="19"/>
              </w:rPr>
              <w:t xml:space="preserve">Prevention:</w:t>
            </w:r>
          </w:p>
          <w:p>
            <w:pPr>
              <w:jc w:val="left"/>
            </w:pPr>
            <w:r>
              <w:rPr>
                <w:rFonts w:ascii="Arial" w:hAnsi="Arial" w:eastAsia="Arial" w:cs="Arial"/>
                <w:sz w:val="19"/>
                <w:szCs w:val="19"/>
              </w:rPr>
              <w:t xml:space="preserve">P201: Obtain special instructions before use.</w:t>
            </w:r>
          </w:p>
          <w:p>
            <w:pPr>
              <w:jc w:val="left"/>
            </w:pPr>
            <w:r>
              <w:rPr>
                <w:rFonts w:ascii="Arial" w:hAnsi="Arial" w:eastAsia="Arial" w:cs="Arial"/>
                <w:sz w:val="19"/>
                <w:szCs w:val="19"/>
              </w:rPr>
              <w:t xml:space="preserve">P202: Do not handle until all safety precautions have been read and understood.</w:t>
            </w:r>
          </w:p>
          <w:p>
            <w:pPr>
              <w:jc w:val="left"/>
            </w:pPr>
            <w:r>
              <w:rPr>
                <w:rFonts w:ascii="Arial" w:hAnsi="Arial" w:eastAsia="Arial" w:cs="Arial"/>
                <w:sz w:val="19"/>
                <w:szCs w:val="19"/>
              </w:rPr>
              <w:t xml:space="preserve">P280: Wear protective gloves/protective clothing/eye protection/face protection.</w:t>
            </w:r>
          </w:p>
          <w:p>
            <w:pPr>
              <w:jc w:val="left"/>
            </w:pPr>
            <w:r>
              <w:rPr>
                <w:rFonts w:ascii="Arial" w:hAnsi="Arial" w:eastAsia="Arial" w:cs="Arial"/>
                <w:b/>
                <w:sz w:val="19"/>
                <w:szCs w:val="19"/>
              </w:rPr>
              <w:t xml:space="preserve">Response:</w:t>
            </w:r>
          </w:p>
          <w:p>
            <w:pPr>
              <w:jc w:val="left"/>
            </w:pPr>
            <w:r>
              <w:rPr>
                <w:rFonts w:ascii="Arial" w:hAnsi="Arial" w:eastAsia="Arial" w:cs="Arial"/>
                <w:sz w:val="19"/>
                <w:szCs w:val="19"/>
              </w:rPr>
              <w:t xml:space="preserve">P308 + P313: IF exposed or concerned: Get medical advice/attention.</w:t>
            </w:r>
          </w:p>
          <w:p>
            <w:pPr>
              <w:jc w:val="left"/>
            </w:pPr>
            <w:r>
              <w:rPr>
                <w:rFonts w:ascii="Arial" w:hAnsi="Arial" w:eastAsia="Arial" w:cs="Arial"/>
                <w:b/>
                <w:sz w:val="19"/>
                <w:szCs w:val="19"/>
              </w:rPr>
              <w:t xml:space="preserve">Storage:</w:t>
            </w:r>
          </w:p>
          <w:p>
            <w:pPr>
              <w:jc w:val="left"/>
            </w:pPr>
            <w:r>
              <w:rPr>
                <w:rFonts w:ascii="Arial" w:hAnsi="Arial" w:eastAsia="Arial" w:cs="Arial"/>
                <w:sz w:val="19"/>
                <w:szCs w:val="19"/>
              </w:rPr>
              <w:t xml:space="preserve">P405: Store locked up.</w:t>
            </w:r>
          </w:p>
          <w:p>
            <w:pPr>
              <w:jc w:val="left"/>
            </w:pPr>
            <w:r>
              <w:rPr>
                <w:rFonts w:ascii="Arial" w:hAnsi="Arial" w:eastAsia="Arial" w:cs="Arial"/>
                <w:b/>
                <w:sz w:val="19"/>
                <w:szCs w:val="19"/>
              </w:rPr>
              <w:t xml:space="preserve">Disposal:</w:t>
            </w:r>
          </w:p>
          <w:p>
            <w:pPr>
              <w:jc w:val="left"/>
            </w:pPr>
            <w:r>
              <w:rPr>
                <w:rFonts w:ascii="Arial" w:hAnsi="Arial" w:eastAsia="Arial" w:cs="Arial"/>
                <w:sz w:val="19"/>
                <w:szCs w:val="19"/>
              </w:rPr>
              <w:t xml:space="preserve">P501: Dispose of contents/container in accordance with local/regional/national/international regulations.</w:t>
            </w:r>
          </w:p>
        </w:tc>
      </w:tr>
      <w:tr w14:paraId="3109C6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C1E34B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2.6</w:t>
              <w:tab/>
            </w:r>
            <w:r>
              <w:rPr>
                <w:rFonts w:ascii="Arial" w:hAnsi="Arial" w:eastAsia="Arial" w:cs="Arial"/>
                <w:b/>
                <w:sz w:val="19"/>
                <w:szCs w:val="19"/>
              </w:rPr>
              <w:t xml:space="preserve">Other Hazards:</w:t>
            </w:r>
          </w:p>
        </w:tc>
        <w:tc>
          <w:tcPr>
            <w:tcW w:w="6276" w:type="dxa"/>
            <w:tcBorders>
              <w:top w:val="dotted" w:color="auto" w:sz="4" w:space="0"/>
              <w:left w:val="dotted" w:color="auto" w:sz="4" w:space="0"/>
              <w:bottom w:val="dotted" w:color="auto" w:sz="4" w:space="0"/>
            </w:tcBorders>
            <w:vAlign w:val="center"/>
          </w:tcPr>
          <w:p w14:paraId="3569688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Risk of cutaneous absorption of N-Methyl-2-pyrrolidone (NMP).</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rPr>
                <w:b/>
                <w:sz w:val="24"/>
              </w:rPr>
            </w:pPr>
            <w:r>
              <w:rPr>
                <w:rFonts w:ascii="Arial" w:hAnsi="Arial" w:eastAsia="Arial" w:cs="Arial"/>
                <w:b/>
                <w:sz w:val="22"/>
                <w:szCs w:val="22"/>
              </w:rPr>
              <w:t xml:space="preserve">3.Composition/Information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3.1</w:t>
              <w:tab/>
            </w:r>
            <w:r>
              <w:rPr>
                <w:rFonts w:ascii="Arial" w:hAnsi="Arial" w:eastAsia="Arial" w:cs="Arial"/>
                <w:b/>
                <w:sz w:val="19"/>
                <w:szCs w:val="19"/>
              </w:rPr>
              <w:t xml:space="preserve">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textAlignment w:val="auto"/>
              <w:rPr>
                <w:rFonts w:cs="Arial"/>
                <w:kern w:val="0"/>
                <w:sz w:val="24"/>
              </w:rPr>
              <w:jc w:val="left"/>
            </w:pPr>
            <w:r>
              <w:rPr>
                <w:bCs w:val="0"/>
                <w:lang w:val="en-US" w:eastAsia="zh-CN"/>
                <w:rFonts w:ascii="Arial" w:hAnsi="Arial" w:eastAsia="Arial" w:cs="Arial"/>
                <w:sz w:val="19"/>
                <w:szCs w:val="19"/>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3.2</w:t>
              <w:tab/>
            </w:r>
            <w:r>
              <w:rPr>
                <w:rFonts w:ascii="Arial" w:hAnsi="Arial" w:eastAsia="Arial" w:cs="Arial"/>
                <w:b/>
                <w:sz w:val="19"/>
                <w:szCs w:val="19"/>
              </w:rPr>
              <w:t xml:space="preserve">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u w:val="single"/>
              </w:rPr>
            </w:pPr>
            <w:r>
              <w:rPr>
                <w:rFonts w:ascii="Arial" w:hAnsi="Arial" w:eastAsia="Arial" w:cs="Arial"/>
                <w:b/>
                <w:sz w:val="19"/>
                <w:szCs w:val="19"/>
              </w:rPr>
              <w:t xml:space="preserve">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Polyurethane dispersion</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9009-54-5</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33.0~36.0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Deionized 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50.0~54.0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N-Methyl-2-pyrrolidone (NMP)</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872-50-4</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13.0~14.0</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rPr>
                <w:b/>
                <w:sz w:val="24"/>
              </w:rPr>
            </w:pPr>
            <w:r>
              <w:rPr>
                <w:rFonts w:ascii="Arial" w:hAnsi="Arial" w:eastAsia="Arial" w:cs="Arial"/>
                <w:b/>
                <w:sz w:val="22"/>
                <w:szCs w:val="22"/>
              </w:rPr>
              <w:t xml:space="preserve">4.First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4.1</w:t>
              <w:tab/>
            </w:r>
            <w:r>
              <w:rPr>
                <w:rFonts w:ascii="Arial" w:hAnsi="Arial" w:eastAsia="Arial" w:cs="Arial"/>
                <w:b/>
                <w:sz w:val="19"/>
                <w:szCs w:val="19"/>
              </w:rPr>
              <w:t xml:space="preserve">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4.2</w:t>
              <w:tab/>
            </w:r>
            <w:r>
              <w:rPr>
                <w:rFonts w:ascii="Arial" w:hAnsi="Arial" w:eastAsia="Arial" w:cs="Arial"/>
                <w:b/>
                <w:sz w:val="19"/>
                <w:szCs w:val="19"/>
              </w:rPr>
              <w:t xml:space="preserve">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4.3</w:t>
              <w:tab/>
            </w:r>
            <w:r>
              <w:rPr>
                <w:rFonts w:ascii="Arial" w:hAnsi="Arial" w:eastAsia="Arial" w:cs="Arial"/>
                <w:b/>
                <w:sz w:val="19"/>
                <w:szCs w:val="19"/>
              </w:rPr>
              <w:t xml:space="preserve">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4.4</w:t>
              <w:tab/>
            </w:r>
            <w:r>
              <w:rPr>
                <w:rFonts w:ascii="Arial" w:hAnsi="Arial" w:eastAsia="Arial" w:cs="Arial"/>
                <w:b/>
                <w:sz w:val="19"/>
                <w:szCs w:val="19"/>
              </w:rPr>
              <w:t xml:space="preserve">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4"/>
                <w:szCs w:val="24"/>
                <w:lang w:val="en-US" w:eastAsia="zh-CN" w:bidi="ar-SA"/>
              </w:rPr>
              <w:ind w:left="420" w:hanging="420"/>
            </w:pPr>
            <w:r>
              <w:rPr>
                <w:rFonts w:ascii="Arial" w:hAnsi="Arial" w:eastAsia="Arial" w:cs="Arial"/>
                <w:b/>
                <w:sz w:val="19"/>
                <w:szCs w:val="19"/>
              </w:rPr>
              <w:t xml:space="preserve">4.5</w:t>
              <w:tab/>
            </w:r>
            <w:r>
              <w:rPr>
                <w:rFonts w:ascii="Arial" w:hAnsi="Arial" w:eastAsia="Arial" w:cs="Arial"/>
                <w:b/>
                <w:sz w:val="19"/>
                <w:szCs w:val="19"/>
              </w:rPr>
              <w:t xml:space="preserve">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rPr>
                <w:b/>
                <w:sz w:val="24"/>
              </w:rPr>
            </w:pPr>
            <w:r>
              <w:rPr>
                <w:rFonts w:ascii="Arial" w:hAnsi="Arial" w:eastAsia="Arial" w:cs="Arial"/>
                <w:b/>
                <w:sz w:val="22"/>
                <w:szCs w:val="22"/>
              </w:rPr>
              <w:t xml:space="preserve">5.Fire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5.1</w:t>
              <w:tab/>
            </w:r>
            <w:r>
              <w:rPr>
                <w:rFonts w:ascii="Arial" w:hAnsi="Arial" w:eastAsia="Arial" w:cs="Arial"/>
                <w:b/>
                <w:sz w:val="19"/>
                <w:szCs w:val="19"/>
              </w:rPr>
              <w:t xml:space="preserve">Suitable extinguishing 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5.2</w:t>
              <w:tab/>
            </w:r>
            <w:r>
              <w:rPr>
                <w:rFonts w:ascii="Arial" w:hAnsi="Arial" w:eastAsia="Arial" w:cs="Arial"/>
                <w:b/>
                <w:sz w:val="19"/>
                <w:szCs w:val="19"/>
              </w:rPr>
              <w:t xml:space="preserve">Unsuitable extinguishing 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lang w:val="en-US" w:eastAsia="zh-CN"/>
              </w:rPr>
              <w:ind w:left="420" w:hanging="420"/>
            </w:pPr>
            <w:r>
              <w:rPr>
                <w:rFonts w:ascii="Arial" w:hAnsi="Arial" w:eastAsia="Arial" w:cs="Arial"/>
                <w:b/>
                <w:sz w:val="19"/>
                <w:szCs w:val="19"/>
              </w:rPr>
              <w:t xml:space="preserve">5.3</w:t>
              <w:tab/>
            </w:r>
            <w:r>
              <w:rPr>
                <w:rFonts w:ascii="Arial" w:hAnsi="Arial" w:eastAsia="Arial" w:cs="Arial"/>
                <w:b/>
                <w:sz w:val="19"/>
                <w:szCs w:val="19"/>
              </w:rPr>
              <w:t xml:space="preserve">Special hazards of 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5.4</w:t>
              <w:tab/>
            </w:r>
            <w:r>
              <w:rPr>
                <w:rFonts w:ascii="Arial" w:hAnsi="Arial" w:eastAsia="Arial" w:cs="Arial"/>
                <w:b/>
                <w:sz w:val="19"/>
                <w:szCs w:val="19"/>
              </w:rPr>
              <w:t xml:space="preserve">Firefighting precautions 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rPr>
                <w:b/>
                <w:sz w:val="24"/>
              </w:rPr>
            </w:pPr>
            <w:r>
              <w:rPr>
                <w:rFonts w:ascii="Arial" w:hAnsi="Arial" w:eastAsia="Arial" w:cs="Arial"/>
                <w:b/>
                <w:sz w:val="22"/>
                <w:szCs w:val="22"/>
              </w:rPr>
              <w:t xml:space="preserve">6.Measures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6.1</w:t>
              <w:tab/>
            </w:r>
            <w:r>
              <w:rPr>
                <w:rFonts w:ascii="Arial" w:hAnsi="Arial" w:eastAsia="Arial" w:cs="Arial"/>
                <w:b/>
                <w:sz w:val="19"/>
                <w:szCs w:val="19"/>
              </w:rPr>
              <w:t xml:space="preserve">Firefighting precautions 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jc w:val="left"/>
              <w:textAlignment w:val="auto"/>
              <w:rPr>
                <w:rFonts w:hint="eastAsia"/>
                <w:b/>
                <w:sz w:val="24"/>
              </w:rPr>
              <w:ind w:left="420" w:hanging="420"/>
            </w:pPr>
            <w:r>
              <w:rPr>
                <w:rFonts w:ascii="Arial" w:hAnsi="Arial" w:eastAsia="Arial" w:cs="Arial"/>
                <w:b/>
                <w:sz w:val="19"/>
                <w:szCs w:val="19"/>
              </w:rPr>
              <w:t xml:space="preserve">6.2</w:t>
              <w:tab/>
            </w:r>
            <w:r>
              <w:rPr>
                <w:rFonts w:ascii="Arial" w:hAnsi="Arial" w:eastAsia="Arial" w:cs="Arial"/>
                <w:b/>
                <w:sz w:val="19"/>
                <w:szCs w:val="19"/>
              </w:rPr>
              <w:t xml:space="preserve">Environmental 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6.3</w:t>
              <w:tab/>
            </w:r>
            <w:r>
              <w:rPr>
                <w:rFonts w:ascii="Arial" w:hAnsi="Arial" w:eastAsia="Arial" w:cs="Arial"/>
                <w:b/>
                <w:sz w:val="19"/>
                <w:szCs w:val="19"/>
              </w:rPr>
              <w:t xml:space="preserve">Methods and material for 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rPr>
                <w:b/>
                <w:sz w:val="24"/>
              </w:rPr>
            </w:pPr>
            <w:r>
              <w:rPr>
                <w:rFonts w:ascii="Arial" w:hAnsi="Arial" w:eastAsia="Arial" w:cs="Arial"/>
                <w:b/>
                <w:sz w:val="22"/>
                <w:szCs w:val="22"/>
              </w:rPr>
              <w:t xml:space="preserve">7.Operation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7.1</w:t>
              <w:tab/>
            </w:r>
            <w:r>
              <w:rPr>
                <w:rFonts w:ascii="Arial" w:hAnsi="Arial" w:eastAsia="Arial" w:cs="Arial"/>
                <w:b/>
                <w:sz w:val="19"/>
                <w:szCs w:val="19"/>
              </w:rPr>
              <w:t xml:space="preserve">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7.2</w:t>
              <w:tab/>
            </w:r>
            <w:r>
              <w:rPr>
                <w:rFonts w:ascii="Arial" w:hAnsi="Arial" w:eastAsia="Arial" w:cs="Arial"/>
                <w:b/>
                <w:sz w:val="19"/>
                <w:szCs w:val="19"/>
              </w:rPr>
              <w:t xml:space="preserve">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rPr>
                <w:b/>
                <w:sz w:val="24"/>
              </w:rPr>
            </w:pPr>
            <w:r>
              <w:rPr>
                <w:rFonts w:ascii="Arial" w:hAnsi="Arial" w:eastAsia="Arial" w:cs="Arial"/>
                <w:b/>
                <w:sz w:val="22"/>
                <w:szCs w:val="22"/>
              </w:rPr>
              <w:t xml:space="preserve">8.Exposure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8.1</w:t>
              <w:tab/>
            </w:r>
            <w:r>
              <w:rPr>
                <w:rFonts w:ascii="Arial" w:hAnsi="Arial" w:eastAsia="Arial" w:cs="Arial"/>
                <w:b/>
                <w:sz w:val="19"/>
                <w:szCs w:val="19"/>
              </w:rPr>
              <w:t xml:space="preserve">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rPr>
                <w:b/>
                <w:sz w:val="22"/>
                <w:szCs w:val="22"/>
              </w:rPr>
              <w:jc w:val="left"/>
            </w:pPr>
            <w:r>
              <w:rPr>
                <w:bCs w:val="0"/>
                <w:kern w:val="0"/>
                <w:rFonts w:ascii="Arial" w:hAnsi="Arial" w:eastAsia="Arial" w:cs="Arial"/>
                <w:sz w:val="19"/>
                <w:szCs w:val="19"/>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Hand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rPr>
                <w:rFonts w:hint="default" w:eastAsia="宋体"/>
                <w:b/>
                <w:sz w:val="22"/>
                <w:szCs w:val="22"/>
                <w:lang w:val="en-US" w:eastAsia="zh-CN"/>
              </w:rPr>
              <w:jc w:val="left"/>
            </w:pPr>
            <w:r>
              <w:rPr>
                <w:bCs w:val="0"/>
                <w:kern w:val="0"/>
                <w:rFonts w:ascii="Arial" w:hAnsi="Arial" w:eastAsia="Arial" w:cs="Arial"/>
                <w:sz w:val="19"/>
                <w:szCs w:val="19"/>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rPr>
                <w:rFonts w:cs="Arial"/>
                <w:kern w:val="0"/>
                <w:sz w:val="22"/>
                <w:szCs w:val="22"/>
              </w:rPr>
              <w:jc w:val="left"/>
            </w:pPr>
            <w:r>
              <w:rPr>
                <w:bCs w:val="0"/>
                <w:kern w:val="0"/>
                <w:rFonts w:ascii="Arial" w:hAnsi="Arial" w:eastAsia="Arial" w:cs="Arial"/>
                <w:sz w:val="19"/>
                <w:szCs w:val="19"/>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textAlignment w:val="auto"/>
              <w:rPr>
                <w:b/>
                <w:sz w:val="24"/>
              </w:rPr>
              <w:jc w:val="left"/>
            </w:pPr>
            <w:r>
              <w:rPr>
                <w:rFonts w:ascii="Arial" w:hAnsi="Arial" w:eastAsia="Arial" w:cs="Arial"/>
                <w:b/>
                <w:sz w:val="19"/>
                <w:szCs w:val="19"/>
              </w:rPr>
              <w:t xml:space="preserve">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rPr>
                <w:b/>
                <w:sz w:val="22"/>
                <w:szCs w:val="22"/>
              </w:rPr>
              <w:jc w:val="left"/>
            </w:pPr>
            <w:r>
              <w:rPr>
                <w:bCs w:val="0"/>
                <w:kern w:val="0"/>
                <w:rFonts w:ascii="Arial" w:hAnsi="Arial" w:eastAsia="Arial" w:cs="Arial"/>
                <w:sz w:val="19"/>
                <w:szCs w:val="19"/>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ind w:left="420" w:hanging="420"/>
            </w:pPr>
            <w:r>
              <w:rPr>
                <w:rFonts w:ascii="Arial" w:hAnsi="Arial" w:eastAsia="Arial" w:cs="Arial"/>
                <w:b/>
                <w:sz w:val="19"/>
                <w:szCs w:val="19"/>
              </w:rPr>
              <w:t xml:space="preserve">8.2</w:t>
              <w:tab/>
            </w:r>
            <w:r>
              <w:rPr>
                <w:rFonts w:ascii="Arial" w:hAnsi="Arial" w:eastAsia="Arial" w:cs="Arial"/>
                <w:b/>
                <w:sz w:val="19"/>
                <w:szCs w:val="19"/>
              </w:rPr>
              <w:t xml:space="preserve">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textAlignment w:val="auto"/>
              <w:rPr>
                <w:rFonts w:hint="default" w:hAnsi="Arial" w:cs="Times New Roman"/>
                <w:b/>
                <w:kern w:val="2"/>
                <w:sz w:val="22"/>
                <w:szCs w:val="22"/>
                <w:lang w:val="en-US" w:eastAsia="zh-CN" w:bidi="ar-SA"/>
              </w:rPr>
              <w:jc w:val="left"/>
            </w:pPr>
            <w:r>
              <w:rPr>
                <w:bCs w:val="0"/>
                <w:kern w:val="0"/>
                <w:rFonts w:ascii="Arial" w:hAnsi="Arial" w:eastAsia="Arial" w:cs="Arial"/>
                <w:sz w:val="19"/>
                <w:szCs w:val="19"/>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rPr>
                <w:b/>
                <w:sz w:val="24"/>
              </w:rPr>
            </w:pPr>
            <w:r>
              <w:rPr>
                <w:rFonts w:ascii="Arial" w:hAnsi="Arial" w:eastAsia="Arial" w:cs="Arial"/>
                <w:b/>
                <w:sz w:val="22"/>
                <w:szCs w:val="22"/>
              </w:rPr>
              <w:t xml:space="preserve">9.Physical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w:t>
              <w:tab/>
            </w:r>
            <w:r>
              <w:rPr>
                <w:rFonts w:ascii="Arial" w:hAnsi="Arial" w:eastAsia="Arial" w:cs="Arial"/>
                <w:b/>
                <w:sz w:val="19"/>
                <w:szCs w:val="19"/>
              </w:rPr>
              <w:t xml:space="preserve">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Transparent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w:t>
              <w:tab/>
            </w:r>
            <w:r>
              <w:rPr>
                <w:rFonts w:ascii="Arial" w:hAnsi="Arial" w:eastAsia="Arial" w:cs="Arial"/>
                <w:b/>
                <w:sz w:val="19"/>
                <w:szCs w:val="19"/>
              </w:rPr>
              <w:t xml:space="preserve">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9.3</w:t>
              <w:tab/>
            </w:r>
            <w:r>
              <w:rPr>
                <w:rFonts w:ascii="Arial" w:hAnsi="Arial" w:eastAsia="Arial" w:cs="Arial"/>
                <w:b/>
                <w:sz w:val="19"/>
                <w:szCs w:val="19"/>
              </w:rPr>
              <w:t xml:space="preserve">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9.4</w:t>
              <w:tab/>
            </w:r>
            <w:r>
              <w:rPr>
                <w:rFonts w:ascii="Arial" w:hAnsi="Arial" w:eastAsia="Arial" w:cs="Arial"/>
                <w:b/>
                <w:sz w:val="19"/>
                <w:szCs w:val="19"/>
              </w:rPr>
              <w:t xml:space="preserve">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9.5</w:t>
              <w:tab/>
            </w:r>
            <w:r>
              <w:rPr>
                <w:rFonts w:ascii="Arial" w:hAnsi="Arial" w:eastAsia="Arial" w:cs="Arial"/>
                <w:b/>
                <w:sz w:val="19"/>
                <w:szCs w:val="19"/>
              </w:rPr>
              <w:t xml:space="preserve">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9.6</w:t>
              <w:tab/>
            </w:r>
            <w:r>
              <w:rPr>
                <w:rFonts w:ascii="Arial" w:hAnsi="Arial" w:eastAsia="Arial" w:cs="Arial"/>
                <w:b/>
                <w:sz w:val="19"/>
                <w:szCs w:val="19"/>
              </w:rPr>
              <w:t xml:space="preserve">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9.7</w:t>
              <w:tab/>
            </w:r>
            <w:r>
              <w:rPr>
                <w:rFonts w:ascii="Arial" w:hAnsi="Arial" w:eastAsia="Arial" w:cs="Arial"/>
                <w:b/>
                <w:sz w:val="19"/>
                <w:szCs w:val="19"/>
              </w:rPr>
              <w:t xml:space="preserve">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9.8</w:t>
              <w:tab/>
            </w:r>
            <w:r>
              <w:rPr>
                <w:rFonts w:ascii="Arial" w:hAnsi="Arial" w:eastAsia="Arial" w:cs="Arial"/>
                <w:b/>
                <w:sz w:val="19"/>
                <w:szCs w:val="19"/>
              </w:rPr>
              <w:t xml:space="preserve">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9.9</w:t>
              <w:tab/>
            </w:r>
            <w:r>
              <w:rPr>
                <w:rFonts w:ascii="Arial" w:hAnsi="Arial" w:eastAsia="Arial" w:cs="Arial"/>
                <w:b/>
                <w:sz w:val="19"/>
                <w:szCs w:val="19"/>
              </w:rPr>
              <w:t xml:space="preserve">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9.10</w:t>
              <w:tab/>
            </w:r>
            <w:r>
              <w:rPr>
                <w:rFonts w:ascii="Arial" w:hAnsi="Arial" w:eastAsia="Arial" w:cs="Arial"/>
                <w:b/>
                <w:sz w:val="19"/>
                <w:szCs w:val="19"/>
              </w:rPr>
              <w:t xml:space="preserve">Saturated vapour pressure:</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9.11</w:t>
              <w:tab/>
            </w:r>
            <w:r>
              <w:rPr>
                <w:rFonts w:ascii="Arial" w:hAnsi="Arial" w:eastAsia="Arial" w:cs="Arial"/>
                <w:b/>
                <w:sz w:val="19"/>
                <w:szCs w:val="19"/>
              </w:rPr>
              <w:t xml:space="preserve">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9.12</w:t>
              <w:tab/>
            </w:r>
            <w:r>
              <w:rPr>
                <w:rFonts w:ascii="Arial" w:hAnsi="Arial" w:eastAsia="Arial" w:cs="Arial"/>
                <w:b/>
                <w:sz w:val="19"/>
                <w:szCs w:val="19"/>
              </w:rPr>
              <w:t xml:space="preserve">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1.0-1.1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9.13</w:t>
              <w:tab/>
            </w:r>
            <w:r>
              <w:rPr>
                <w:rFonts w:ascii="Arial" w:hAnsi="Arial" w:eastAsia="Arial" w:cs="Arial"/>
                <w:b/>
                <w:sz w:val="19"/>
                <w:szCs w:val="19"/>
              </w:rPr>
              <w:t xml:space="preserve">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9.14</w:t>
              <w:tab/>
            </w:r>
            <w:r>
              <w:rPr>
                <w:rFonts w:ascii="Arial" w:hAnsi="Arial" w:eastAsia="Arial" w:cs="Arial"/>
                <w:b/>
                <w:sz w:val="19"/>
                <w:szCs w:val="19"/>
              </w:rPr>
              <w:t xml:space="preserve">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9.15</w:t>
              <w:tab/>
            </w:r>
            <w:r>
              <w:rPr>
                <w:rFonts w:ascii="Arial" w:hAnsi="Arial" w:eastAsia="Arial" w:cs="Arial"/>
                <w:b/>
                <w:sz w:val="19"/>
                <w:szCs w:val="19"/>
              </w:rPr>
              <w:t xml:space="preserve">log Pow (n-octanol/water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9.16</w:t>
              <w:tab/>
            </w:r>
            <w:r>
              <w:rPr>
                <w:rFonts w:ascii="Arial" w:hAnsi="Arial" w:eastAsia="Arial" w:cs="Arial"/>
                <w:b/>
                <w:sz w:val="19"/>
                <w:szCs w:val="19"/>
              </w:rPr>
              <w:t xml:space="preserve">Auto-ignition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9.17</w:t>
              <w:tab/>
            </w:r>
            <w:r>
              <w:rPr>
                <w:rFonts w:ascii="Arial" w:hAnsi="Arial" w:eastAsia="Arial" w:cs="Arial"/>
                <w:b/>
                <w:sz w:val="19"/>
                <w:szCs w:val="19"/>
              </w:rPr>
              <w:t xml:space="preserve">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32E781C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9.18</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25D078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9.19</w:t>
              <w:tab/>
            </w:r>
            <w:r>
              <w:rPr>
                <w:rFonts w:ascii="Arial" w:hAnsi="Arial" w:eastAsia="Arial" w:cs="Arial"/>
                <w:b/>
                <w:sz w:val="19"/>
                <w:szCs w:val="19"/>
              </w:rPr>
              <w:t xml:space="preserve">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&lt; 250mPa.s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9.20</w:t>
              <w:tab/>
            </w:r>
            <w:r>
              <w:rPr>
                <w:rFonts w:ascii="Arial" w:hAnsi="Arial" w:eastAsia="Arial" w:cs="Arial"/>
                <w:b/>
                <w:sz w:val="19"/>
                <w:szCs w:val="19"/>
              </w:rPr>
              <w:t xml:space="preserve">Explosive properties:</w:t>
            </w:r>
          </w:p>
        </w:tc>
        <w:tc>
          <w:tcPr>
            <w:tcW w:w="6277" w:type="dxa"/>
            <w:tcBorders>
              <w:top w:val="dotted" w:color="auto" w:sz="4" w:space="0"/>
              <w:left w:val="dotted" w:color="auto" w:sz="4" w:space="0"/>
              <w:bottom w:val="dotted" w:color="auto" w:sz="4" w:space="0"/>
            </w:tcBorders>
            <w:vAlign w:val="center"/>
          </w:tcPr>
          <w:p w14:paraId="34BB478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9.21</w:t>
              <w:tab/>
            </w:r>
            <w:r>
              <w:rPr>
                <w:rFonts w:ascii="Arial" w:hAnsi="Arial" w:eastAsia="Arial" w:cs="Arial"/>
                <w:b/>
                <w:sz w:val="19"/>
                <w:szCs w:val="19"/>
              </w:rPr>
              <w:t xml:space="preserve">Dust explosion class:</w:t>
            </w:r>
          </w:p>
        </w:tc>
        <w:tc>
          <w:tcPr>
            <w:tcW w:w="6277" w:type="dxa"/>
            <w:tcBorders>
              <w:top w:val="dotted" w:color="auto" w:sz="4" w:space="0"/>
              <w:left w:val="dotted" w:color="auto" w:sz="4" w:space="0"/>
              <w:bottom w:val="dotted" w:color="auto" w:sz="4" w:space="0"/>
            </w:tcBorders>
            <w:vAlign w:val="center"/>
          </w:tcPr>
          <w:p w14:paraId="6AF3D94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9.22</w:t>
              <w:tab/>
            </w:r>
            <w:r>
              <w:rPr>
                <w:rFonts w:ascii="Arial" w:hAnsi="Arial" w:eastAsia="Arial" w:cs="Arial"/>
                <w:b/>
                <w:sz w:val="19"/>
                <w:szCs w:val="19"/>
              </w:rPr>
              <w:t xml:space="preserve">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35±2%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9.23</w:t>
              <w:tab/>
            </w:r>
            <w:r>
              <w:rPr>
                <w:rFonts w:ascii="Arial" w:hAnsi="Arial" w:eastAsia="Arial" w:cs="Arial"/>
                <w:b/>
                <w:sz w:val="19"/>
                <w:szCs w:val="19"/>
              </w:rPr>
              <w:t xml:space="preserve">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rPr>
                <w:b/>
                <w:sz w:val="24"/>
              </w:rPr>
            </w:pPr>
            <w:r>
              <w:rPr>
                <w:rFonts w:ascii="Arial" w:hAnsi="Arial" w:eastAsia="Arial" w:cs="Arial"/>
                <w:b/>
                <w:sz w:val="22"/>
                <w:szCs w:val="22"/>
              </w:rPr>
              <w:t xml:space="preserve">10.Stability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10.1</w:t>
              <w:tab/>
            </w:r>
            <w:r>
              <w:rPr>
                <w:rFonts w:ascii="Arial" w:hAnsi="Arial" w:eastAsia="Arial" w:cs="Arial"/>
                <w:b/>
                <w:sz w:val="19"/>
                <w:szCs w:val="19"/>
              </w:rPr>
              <w:t xml:space="preserve">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10.2</w:t>
              <w:tab/>
            </w:r>
            <w:r>
              <w:rPr>
                <w:rFonts w:ascii="Arial" w:hAnsi="Arial" w:eastAsia="Arial" w:cs="Arial"/>
                <w:b/>
                <w:sz w:val="19"/>
                <w:szCs w:val="19"/>
              </w:rPr>
              <w:t xml:space="preserve">Hazardous decomposition products:</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eastAsia="zh-CN"/>
              </w:rPr>
              <w:jc w:val="left"/>
            </w:pPr>
            <w:r>
              <w:rPr>
                <w:bCs w:val="0"/>
                <w:kern w:val="0"/>
                <w:rFonts w:ascii="Arial" w:hAnsi="Arial" w:eastAsia="Arial" w:cs="Arial"/>
                <w:sz w:val="19"/>
                <w:szCs w:val="19"/>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10.3</w:t>
              <w:tab/>
            </w:r>
            <w:r>
              <w:rPr>
                <w:rFonts w:ascii="Arial" w:hAnsi="Arial" w:eastAsia="Arial" w:cs="Arial"/>
                <w:b/>
                <w:sz w:val="19"/>
                <w:szCs w:val="19"/>
              </w:rPr>
              <w:t xml:space="preserve">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rPr>
                <w:b/>
                <w:sz w:val="24"/>
              </w:rPr>
            </w:pPr>
            <w:r>
              <w:rPr>
                <w:rFonts w:ascii="Arial" w:hAnsi="Arial" w:eastAsia="Arial" w:cs="Arial"/>
                <w:b/>
                <w:sz w:val="22"/>
                <w:szCs w:val="22"/>
              </w:rPr>
              <w:t xml:space="preserve">11.Toxicity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single" w:color="auto" w:sz="4" w:space="0"/>
              <w:bottom w:val="dotted" w:color="auto" w:sz="4" w:space="0"/>
            </w:tcBorders>
          </w:tcPr>
          <w:p w14:paraId="22A157D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rFonts w:ascii="Arial" w:hAnsi="Arial" w:eastAsia="Arial" w:cs="Arial"/>
                <w:sz w:val="19"/>
                <w:szCs w:val="19"/>
              </w:rPr>
              <w:t xml:space="preserve">No toxicological studies were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dotted" w:color="auto" w:sz="4" w:space="0"/>
              <w:bottom w:val="dotted" w:color="auto" w:sz="4" w:space="0"/>
            </w:tcBorders>
          </w:tcPr>
          <w:p w14:paraId="6C5E98D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rFonts w:ascii="Arial" w:hAnsi="Arial" w:eastAsia="Arial" w:cs="Arial"/>
                <w:sz w:val="19"/>
                <w:szCs w:val="19"/>
              </w:rPr>
              <w:t xml:space="preserve">The following are toxicological data for N-Methyl-2-pyrrolidone (NMP):</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11.1</w:t>
              <w:tab/>
            </w:r>
            <w:r>
              <w:rPr>
                <w:rFonts w:ascii="Arial" w:hAnsi="Arial" w:eastAsia="Arial" w:cs="Arial"/>
                <w:b/>
                <w:sz w:val="19"/>
                <w:szCs w:val="19"/>
              </w:rPr>
              <w:t xml:space="preserve">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b/>
                <w:bCs/>
                <w:sz w:val="24"/>
                <w:szCs w:val="24"/>
                <w:lang w:val="en-US" w:eastAsia="zh-CN"/>
              </w:rPr>
              <w:jc w:val="left"/>
            </w:pPr>
            <w:r>
              <w:rPr>
                <w:rFonts w:ascii="Arial" w:hAnsi="Arial" w:eastAsia="Arial" w:cs="Arial"/>
                <w:b/>
                <w:sz w:val="19"/>
                <w:szCs w:val="19"/>
              </w:rPr>
              <w:t xml:space="preserve">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Oral / Rat: 4,150mg/kg</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Inhalation:</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LC50 / Inhalation / 1h / Rat: ＞5.1mg/l</w:t>
              <w:br/>
              <w:t>LC50 / Inhalation / 4h / Rat: ＞5.1mg/l</w:t>
            </w:r>
          </w:p>
        </w:tc>
      </w:tr>
      <w:tr w14:paraId="50E3B3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519" w:type="dxa"/>
            <w:vMerge w:val="continue"/>
            <w:tcBorders>
              <w:top w:val="dotted" w:color="auto" w:sz="4" w:space="0"/>
              <w:bottom w:val="dotted" w:color="auto" w:sz="4" w:space="0"/>
              <w:right w:val="dotted" w:color="auto" w:sz="4" w:space="0"/>
            </w:tcBorders>
            <w:vAlign w:val="center"/>
          </w:tcPr>
          <w:p w14:paraId="04F24CB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6BB8478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Dermal:</w:t>
            </w:r>
          </w:p>
        </w:tc>
        <w:tc>
          <w:tcPr>
            <w:tcW w:w="4338" w:type="dxa"/>
            <w:gridSpan w:val="2"/>
            <w:tcBorders>
              <w:top w:val="dotted" w:color="auto" w:sz="4" w:space="0"/>
              <w:left w:val="dotted" w:color="auto" w:sz="4" w:space="0"/>
              <w:bottom w:val="dotted" w:color="auto" w:sz="4" w:space="0"/>
            </w:tcBorders>
            <w:vAlign w:val="center"/>
          </w:tcPr>
          <w:p w14:paraId="146B658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Oral / Rat: ＞5,000mg/kg</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11.2</w:t>
              <w:tab/>
            </w:r>
            <w:r>
              <w:rPr>
                <w:rFonts w:ascii="Arial" w:hAnsi="Arial" w:eastAsia="Arial" w:cs="Arial"/>
                <w:b/>
                <w:sz w:val="19"/>
                <w:szCs w:val="19"/>
              </w:rPr>
              <w:t xml:space="preserve">Primary skin irritation:</w:t>
            </w:r>
          </w:p>
        </w:tc>
        <w:tc>
          <w:tcPr>
            <w:tcW w:w="6262" w:type="dxa"/>
            <w:gridSpan w:val="3"/>
            <w:tcBorders>
              <w:top w:val="dotted" w:color="auto" w:sz="4" w:space="0"/>
              <w:left w:val="dotted" w:color="auto" w:sz="4" w:space="0"/>
              <w:bottom w:val="dotted" w:color="auto" w:sz="4" w:space="0"/>
            </w:tcBorders>
            <w:vAlign w:val="center"/>
          </w:tcPr>
          <w:p w14:paraId="60502DE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Species: Rabbit</w:t>
              <w:br/>
              <w:t>Classification: Irritating to skin</w:t>
              <w:br/>
              <w:t>Result: Causes skin irritation</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11.3</w:t>
              <w:tab/>
            </w:r>
            <w:r>
              <w:rPr>
                <w:rFonts w:ascii="Arial" w:hAnsi="Arial" w:eastAsia="Arial" w:cs="Arial"/>
                <w:b/>
                <w:sz w:val="19"/>
                <w:szCs w:val="19"/>
              </w:rPr>
              <w:t xml:space="preserve">Primary eye irritation:</w:t>
            </w:r>
          </w:p>
        </w:tc>
        <w:tc>
          <w:tcPr>
            <w:tcW w:w="6262" w:type="dxa"/>
            <w:gridSpan w:val="3"/>
            <w:tcBorders>
              <w:top w:val="dotted" w:color="auto" w:sz="4" w:space="0"/>
              <w:left w:val="dotted" w:color="auto" w:sz="4" w:space="0"/>
              <w:bottom w:val="dotted" w:color="auto" w:sz="4" w:space="0"/>
            </w:tcBorders>
            <w:vAlign w:val="center"/>
          </w:tcPr>
          <w:p w14:paraId="766A010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Species: Rabbit</w:t>
              <w:br/>
              <w:t>Classification: Irritating to eyes</w:t>
              <w:br/>
              <w:t>Result: Causes serious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11.4</w:t>
              <w:tab/>
            </w:r>
            <w:r>
              <w:rPr>
                <w:rFonts w:ascii="Arial" w:hAnsi="Arial" w:eastAsia="Arial" w:cs="Arial"/>
                <w:b/>
                <w:sz w:val="19"/>
                <w:szCs w:val="19"/>
              </w:rPr>
              <w:t xml:space="preserve">Sensitization:</w:t>
            </w:r>
          </w:p>
        </w:tc>
        <w:tc>
          <w:tcPr>
            <w:tcW w:w="6262" w:type="dxa"/>
            <w:gridSpan w:val="3"/>
            <w:tcBorders>
              <w:top w:val="dotted" w:color="auto" w:sz="4" w:space="0"/>
              <w:left w:val="dotted" w:color="auto" w:sz="4" w:space="0"/>
              <w:bottom w:val="dotted" w:color="auto" w:sz="4" w:space="0"/>
            </w:tcBorders>
            <w:vAlign w:val="center"/>
          </w:tcPr>
          <w:p w14:paraId="4FBF7DC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Species: Mouse</w:t>
              <w:br/>
              <w:t>Classification: Not a skin sensitizer</w:t>
              <w:br/>
              <w:t>Result: Did not cause sensitization in laboratory animals</w:t>
            </w:r>
            <w:r>
              <w:rPr>
                <w:rFonts w:ascii="Arial" w:hAnsi="Arial" w:eastAsia="Arial" w:cs="Arial"/>
                <w:sz w:val="19"/>
                <w:szCs w:val="19"/>
              </w:rPr>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11.5</w:t>
              <w:tab/>
            </w:r>
            <w:r>
              <w:rPr>
                <w:rFonts w:ascii="Arial" w:hAnsi="Arial" w:eastAsia="Arial" w:cs="Arial"/>
                <w:b/>
                <w:sz w:val="19"/>
                <w:szCs w:val="19"/>
              </w:rPr>
              <w:t xml:space="preserve">Mutagenicity: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rFonts w:ascii="Arial" w:hAnsi="Arial" w:eastAsia="Arial" w:cs="Arial"/>
                <w:sz w:val="19"/>
                <w:szCs w:val="19"/>
              </w:rPr>
              <w:t>No mutagenic effects observed in bacterial or mammalian cell cultures. No mutagenic effects observed in animal studies.</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11.6</w:t>
              <w:tab/>
            </w:r>
            <w:r>
              <w:rPr>
                <w:rFonts w:ascii="Arial" w:hAnsi="Arial" w:eastAsia="Arial" w:cs="Arial"/>
                <w:b/>
                <w:sz w:val="19"/>
                <w:szCs w:val="19"/>
              </w:rPr>
              <w:t xml:space="preserve">Carcinogenicity: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lang w:val="en-US" w:eastAsia="zh-CN"/>
                <w:rFonts w:ascii="Arial" w:hAnsi="Arial" w:eastAsia="Arial" w:cs="Arial"/>
                <w:sz w:val="19"/>
                <w:szCs w:val="19"/>
              </w:rPr>
              <w:t>No carcinogenic effects observed in animal studies.</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11.7</w:t>
              <w:tab/>
            </w:r>
            <w:r>
              <w:rPr>
                <w:rFonts w:ascii="Arial" w:hAnsi="Arial" w:eastAsia="Arial" w:cs="Arial"/>
                <w:b/>
                <w:sz w:val="19"/>
                <w:szCs w:val="19"/>
              </w:rPr>
              <w:t xml:space="preserve">Reproductive toxicity:</w:t>
            </w:r>
          </w:p>
        </w:tc>
        <w:tc>
          <w:tcPr>
            <w:tcW w:w="6262" w:type="dxa"/>
            <w:tcBorders>
              <w:top w:val="dotted" w:color="auto" w:sz="4" w:space="0"/>
              <w:left w:val="dotted" w:color="auto" w:sz="4" w:space="0"/>
              <w:bottom w:val="dotted" w:color="auto" w:sz="4" w:space="0"/>
            </w:tcBorders>
            <w:vAlign w:val="center"/>
            <w:gridSpan w:val="3"/>
          </w:tcPr>
          <w:p w14:paraId="696E91D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sz w:val="24"/>
                <w:szCs w:val="24"/>
                <w:lang w:val="en-US" w:eastAsia="zh-CN"/>
              </w:rPr>
              <w:jc w:val="left"/>
            </w:pPr>
            <w:r>
              <w:rPr>
                <w:bCs w:val="0"/>
                <w:lang w:val="en-US" w:eastAsia="zh-CN"/>
                <w:rFonts w:ascii="Arial" w:hAnsi="Arial" w:eastAsia="Arial" w:cs="Arial"/>
                <w:sz w:val="19"/>
                <w:szCs w:val="19"/>
              </w:rPr>
              <w:t>Animal experiments showed risks of impaired fertility only at high doses.</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11.8</w:t>
              <w:tab/>
            </w:r>
            <w:r>
              <w:rPr>
                <w:rFonts w:ascii="Arial" w:hAnsi="Arial" w:eastAsia="Arial" w:cs="Arial"/>
                <w:b/>
                <w:sz w:val="19"/>
                <w:szCs w:val="19"/>
              </w:rPr>
              <w:t xml:space="preserve">Specific target organ toxicity (single/repeated 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May cause respiratory irritation.</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F3F3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11.9</w:t>
              <w:tab/>
            </w:r>
            <w:r>
              <w:rPr>
                <w:rFonts w:ascii="Arial" w:hAnsi="Arial" w:eastAsia="Arial" w:cs="Arial"/>
                <w:b/>
                <w:sz w:val="19"/>
                <w:szCs w:val="19"/>
              </w:rPr>
              <w:t xml:space="preserve">Aspiration hazard:</w:t>
            </w:r>
          </w:p>
        </w:tc>
        <w:tc>
          <w:tcPr>
            <w:tcW w:w="6262" w:type="dxa"/>
            <w:gridSpan w:val="3"/>
            <w:tcBorders>
              <w:top w:val="dotted" w:color="auto" w:sz="4" w:space="0"/>
              <w:left w:val="dotted" w:color="auto" w:sz="4" w:space="0"/>
              <w:bottom w:val="dotted" w:color="auto" w:sz="4" w:space="0"/>
            </w:tcBorders>
            <w:vAlign w:val="center"/>
          </w:tcPr>
          <w:p w14:paraId="59099FE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11.10</w:t>
              <w:tab/>
            </w:r>
            <w:r>
              <w:rPr>
                <w:rFonts w:ascii="Arial" w:hAnsi="Arial" w:eastAsia="Arial" w:cs="Arial"/>
                <w:b/>
                <w:sz w:val="19"/>
                <w:szCs w:val="19"/>
              </w:rPr>
              <w:t xml:space="preserve">Additional information:</w:t>
            </w:r>
          </w:p>
        </w:tc>
        <w:tc>
          <w:tcPr>
            <w:tcW w:w="6262" w:type="dxa"/>
            <w:gridSpan w:val="3"/>
            <w:tcBorders>
              <w:top w:val="dotted" w:color="auto" w:sz="4" w:space="0"/>
              <w:left w:val="dotted" w:color="auto" w:sz="4" w:space="0"/>
            </w:tcBorders>
            <w:vAlign w:val="center"/>
          </w:tcPr>
          <w:p w14:paraId="715C379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Risk of cutaneous absorption of N-Methyl-2-pyrrolidone (NMP).</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rPr>
                <w:b/>
                <w:sz w:val="24"/>
              </w:rPr>
            </w:pPr>
            <w:r>
              <w:rPr>
                <w:rFonts w:ascii="Arial" w:hAnsi="Arial" w:eastAsia="Arial" w:cs="Arial"/>
                <w:b/>
                <w:sz w:val="22"/>
                <w:szCs w:val="22"/>
              </w:rPr>
              <w:t xml:space="preserve">12.Ecological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single" w:color="auto" w:sz="4" w:space="0"/>
              <w:bottom w:val="dotted" w:color="auto" w:sz="4" w:space="0"/>
            </w:tcBorders>
            <w:shd w:val="clear" w:color="auto" w:fill="auto"/>
            <w:vAlign w:val="center"/>
          </w:tcPr>
          <w:p w14:paraId="580BB7A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rFonts w:ascii="Arial" w:hAnsi="Arial" w:eastAsia="Arial" w:cs="Arial"/>
                <w:sz w:val="19"/>
                <w:szCs w:val="19"/>
              </w:rPr>
              <w:t xml:space="preserve">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dotted" w:color="auto" w:sz="4" w:space="0"/>
              <w:bottom w:val="dotted" w:color="auto" w:sz="4" w:space="0"/>
            </w:tcBorders>
            <w:shd w:val="clear" w:color="auto" w:fill="auto"/>
            <w:vAlign w:val="center"/>
          </w:tcPr>
          <w:p w14:paraId="716EDF0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rFonts w:ascii="Arial" w:hAnsi="Arial" w:eastAsia="Arial" w:cs="Arial"/>
                <w:sz w:val="19"/>
                <w:szCs w:val="19"/>
              </w:rPr>
              <w:t xml:space="preserve">The following are ecotoxicological data for N-Methyl-2-pyrrolidone (NMP):</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eastAsia="宋体"/>
                <w:sz w:val="24"/>
                <w:lang w:val="en-US" w:eastAsia="zh-CN"/>
              </w:rPr>
              <w:ind w:left="420" w:hanging="420"/>
            </w:pPr>
            <w:r>
              <w:rPr>
                <w:rFonts w:ascii="Arial" w:hAnsi="Arial" w:eastAsia="Arial" w:cs="Arial"/>
                <w:b/>
                <w:sz w:val="19"/>
                <w:szCs w:val="19"/>
              </w:rPr>
              <w:t xml:space="preserve">12.1</w:t>
              <w:tab/>
            </w:r>
            <w:r>
              <w:rPr>
                <w:rFonts w:ascii="Arial" w:hAnsi="Arial" w:eastAsia="Arial" w:cs="Arial"/>
                <w:b/>
                <w:sz w:val="19"/>
                <w:szCs w:val="19"/>
              </w:rPr>
              <w:t xml:space="preserve">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Toxicity to fish:</w:t>
              <w:br/>
              <w:t>LC50 / 96 h / Oncorhynchus mykiss (rainbow trout): 500mg/l</w:t>
              <w:br/>
              <w:t>Other:</w:t>
              <w:br/>
              <w:t>EC50 / 72 h / Algae: ＞500mg/l</w:t>
              <w:br/>
              <w:t>EC50 / 24 h / Daphnia magna: ＞1,000mg/l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12.2</w:t>
              <w:tab/>
            </w:r>
            <w:r>
              <w:rPr>
                <w:rFonts w:ascii="Arial" w:hAnsi="Arial" w:eastAsia="Arial" w:cs="Arial"/>
                <w:b/>
                <w:sz w:val="19"/>
                <w:szCs w:val="19"/>
              </w:rPr>
              <w:t xml:space="preserve">Persistence and 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Biodegradability: 73 %, 28 d, readily biodegradable.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12.3</w:t>
              <w:tab/>
            </w:r>
            <w:r>
              <w:rPr>
                <w:rFonts w:ascii="Arial" w:hAnsi="Arial" w:eastAsia="Arial" w:cs="Arial"/>
                <w:b/>
                <w:sz w:val="19"/>
                <w:szCs w:val="19"/>
              </w:rPr>
              <w:t xml:space="preserve">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lang w:val="en-US" w:eastAsia="zh-CN"/>
                <w:rFonts w:ascii="Arial" w:hAnsi="Arial" w:eastAsia="Arial" w:cs="Arial"/>
                <w:sz w:val="19"/>
                <w:szCs w:val="19"/>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rPr>
                <w:b/>
                <w:sz w:val="24"/>
              </w:rPr>
            </w:pPr>
            <w:r>
              <w:rPr>
                <w:rFonts w:ascii="Arial" w:hAnsi="Arial" w:eastAsia="Arial" w:cs="Arial"/>
                <w:b/>
                <w:sz w:val="22"/>
                <w:szCs w:val="22"/>
              </w:rPr>
              <w:t xml:space="preserve">13.Handling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Dispose of in accordance with applicable national standards and national or local regulations.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kinsoku/>
              <w:wordWrap/>
              <w:overflowPunct/>
              <w:topLinePunct w:val="0"/>
              <w:autoSpaceDE/>
              <w:autoSpaceDN/>
              <w:bidi w:val="0"/>
              <w:adjustRightInd/>
              <w:snapToGrid/>
              <w:spacing w:line="300" w:lineRule="auto"/>
              <w:textAlignment w:val="auto"/>
              <w:rPr>
                <w:sz w:val="24"/>
              </w:rPr>
              <w:jc w:val="center"/>
            </w:pPr>
            <w:r>
              <w:rPr>
                <w:rFonts w:ascii="Arial" w:hAnsi="Arial" w:eastAsia="Arial" w:cs="Arial"/>
                <w:b/>
                <w:sz w:val="19"/>
                <w:szCs w:val="19"/>
              </w:rPr>
              <w:t xml:space="preserve">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rPr>
                <w:b/>
                <w:sz w:val="24"/>
              </w:rPr>
            </w:pPr>
            <w:r>
              <w:rPr>
                <w:rFonts w:ascii="Arial" w:hAnsi="Arial" w:eastAsia="Arial" w:cs="Arial"/>
                <w:b/>
                <w:sz w:val="22"/>
                <w:szCs w:val="22"/>
              </w:rPr>
              <w:t xml:space="preserve">14.Transportation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14.1</w:t>
              <w:tab/>
            </w:r>
            <w:r>
              <w:rPr>
                <w:rFonts w:ascii="Arial" w:hAnsi="Arial" w:eastAsia="Arial" w:cs="Arial"/>
                <w:b/>
                <w:sz w:val="19"/>
                <w:szCs w:val="19"/>
              </w:rPr>
              <w:t xml:space="preserve">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14.2</w:t>
              <w:tab/>
            </w:r>
            <w:r>
              <w:rPr>
                <w:rFonts w:ascii="Arial" w:hAnsi="Arial" w:eastAsia="Arial" w:cs="Arial"/>
                <w:b/>
                <w:sz w:val="19"/>
                <w:szCs w:val="19"/>
              </w:rPr>
              <w:t xml:space="preserve">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14.3</w:t>
              <w:tab/>
            </w:r>
            <w:r>
              <w:rPr>
                <w:rFonts w:ascii="Arial" w:hAnsi="Arial" w:eastAsia="Arial" w:cs="Arial"/>
                <w:b/>
                <w:sz w:val="19"/>
                <w:szCs w:val="19"/>
              </w:rPr>
              <w:t xml:space="preserve">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14.4</w:t>
              <w:tab/>
            </w:r>
            <w:r>
              <w:rPr>
                <w:rFonts w:ascii="Arial" w:hAnsi="Arial" w:eastAsia="Arial" w:cs="Arial"/>
                <w:b/>
                <w:sz w:val="19"/>
                <w:szCs w:val="19"/>
              </w:rPr>
              <w:t xml:space="preserve">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rPr>
                <w:b/>
                <w:sz w:val="24"/>
              </w:rPr>
            </w:pPr>
            <w:r>
              <w:rPr>
                <w:rFonts w:ascii="Arial" w:hAnsi="Arial" w:eastAsia="Arial" w:cs="Arial"/>
                <w:b/>
                <w:sz w:val="22"/>
                <w:szCs w:val="22"/>
              </w:rPr>
              <w:t xml:space="preserve">15.Regulatory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rPr>
                <w:rFonts w:hint="default" w:ascii="Times New Roman" w:hAnsi="Times New Roman" w:cs="Times New Roman"/>
                <w:bCs/>
                <w:kern w:val="0"/>
                <w:sz w:val="24"/>
                <w:szCs w:val="24"/>
              </w:rPr>
              <w:jc w:val="left"/>
            </w:pPr>
            <w:bookmarkStart w:id="0" w:name="_GoBack" w:colFirst="0" w:colLast="0"/>
            <w:r>
              <w:rPr>
                <w:rFonts w:ascii="Arial" w:hAnsi="Arial" w:eastAsia="Arial" w:cs="Arial"/>
                <w:sz w:val="19"/>
                <w:szCs w:val="19"/>
              </w:rPr>
              <w:t xml:space="preserve">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Regulations on the Safety Management of Hazardous Chemicals, State Council Decree No. 591</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30000.2-29 Rules for classification and labelling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rPr>
                <w:b/>
                <w:sz w:val="24"/>
              </w:rPr>
            </w:pPr>
            <w:r>
              <w:rPr>
                <w:rFonts w:ascii="Arial" w:hAnsi="Arial" w:eastAsia="Arial" w:cs="Arial"/>
                <w:b/>
                <w:sz w:val="22"/>
                <w:szCs w:val="22"/>
              </w:rPr>
              <w:t xml:space="preserve">16.Other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textAlignment w:val="auto"/>
              <w:rPr>
                <w:rFonts w:cs="Arial"/>
                <w:bCs/>
                <w:kern w:val="0"/>
                <w:sz w:val="24"/>
              </w:rPr>
              <w:jc w:val="left"/>
            </w:pPr>
            <w:r>
              <w:rPr>
                <w:rFonts w:ascii="Arial" w:hAnsi="Arial" w:eastAsia="Arial" w:cs="Arial"/>
                <w:sz w:val="19"/>
                <w:szCs w:val="19"/>
              </w:rPr>
              <w:t xml:space="preserve">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jc w:val="left"/>
            <w:jc w:val="left"/>
          </w:pPr>
          <w:r>
            <w:rPr>
              <w:rFonts w:hint="eastAsia"/>
              <w:kern w:val="0"/>
              <w:sz w:val="21"/>
              <w:szCs w:val="21"/>
            </w:rPr>
            <w:t>Yingde Guocai New Material Co., Ltd. PU-608-MSDS</w:t>
          </w:r>
        </w:p>
      </w:tc>
      <w:tc>
        <w:tcPr>
          <w:tcW w:w="4984" w:type="dxa"/>
        </w:tcPr>
        <w:p w14:paraId="32B3FF4C">
          <w:pPr>
            <w:ind w:firstLine="8730" w:firstLineChars="4850"/>
            <w:jc w:val="right"/>
            <w:rPr>
              <w:kern w:val="0"/>
              <w:sz w:val="20"/>
            </w:rPr>
            <w:jc w:val="right"/>
            <w:jc w:val="right"/>
          </w:pPr>
          <w:r>
            <w:rPr>
              <w:rFonts w:ascii="Arial" w:eastAsia="楷体_GB2312"/>
              <w:color w:val="7F7F7F"/>
              <w:kern w:val="0"/>
              <w:sz w:val="18"/>
              <w:szCs w:val="18"/>
            </w:rPr>
            <w:t>Revision Date: 2026/10/23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PU-608</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21" Type="http://schemas.openxmlformats.org/officeDocument/2006/relationships/image" Target="media/image_ghs_1792742497676_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