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metal coatings, permeable flooring, paper coating, wood coatings, leather finishing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2.1</w:t>
              <w:tab/>
            </w:r>
            <w:r>
              <w:rPr>
                <w:rFonts w:ascii="Arial" w:hAnsi="Arial" w:eastAsia="Arial" w:cs="Arial"/>
                <w:b/>
                <w:sz w:val="19"/>
                <w:szCs w:val="19"/>
              </w:rPr>
              <w:t xml:space="preserve">GHS Hazard 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2.2</w:t>
              <w:tab/>
            </w:r>
            <w:r>
              <w:rPr>
                <w:rFonts w:ascii="Arial" w:hAnsi="Arial" w:eastAsia="Arial" w:cs="Arial"/>
                <w:b/>
                <w:sz w:val="19"/>
                <w:szCs w:val="19"/>
              </w:rPr>
              <w:t xml:space="preserve">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pPr>
            <w:r>
              <w:rPr>
                <w:rFonts w:ascii="Arial" w:hAnsi="Arial" w:eastAsia="Arial" w:cs="Arial"/>
                <w:b/>
                <w:sz w:val="19"/>
                <w:szCs w:val="19"/>
              </w:rPr>
              <w:t xml:space="preserve">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rFonts w:ascii="Arial" w:hAnsi="Arial" w:eastAsia="Arial" w:cs="Arial"/>
                <w:sz w:val="19"/>
                <w:szCs w:val="19"/>
              </w:rP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2.3</w:t>
              <w:tab/>
            </w:r>
            <w:r>
              <w:rPr>
                <w:rFonts w:ascii="Arial" w:hAnsi="Arial" w:eastAsia="Arial" w:cs="Arial"/>
                <w:b/>
                <w:sz w:val="19"/>
                <w:szCs w:val="19"/>
              </w:rPr>
              <w:t xml:space="preserve">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cs="Arial"/>
                <w:b/>
                <w:bCs/>
                <w:kern w:val="0"/>
                <w:sz w:val="24"/>
              </w:rPr>
              <w:ind w:left="420" w:hanging="420"/>
            </w:pPr>
            <w:r>
              <w:rPr>
                <w:rFonts w:ascii="Arial" w:hAnsi="Arial" w:eastAsia="Arial" w:cs="Arial"/>
                <w:b/>
                <w:sz w:val="19"/>
                <w:szCs w:val="19"/>
              </w:rPr>
              <w:t xml:space="preserve">2.4</w:t>
              <w:tab/>
            </w:r>
            <w:r>
              <w:rPr>
                <w:rFonts w:ascii="Arial" w:hAnsi="Arial" w:eastAsia="Arial" w:cs="Arial"/>
                <w:b/>
                <w:sz w:val="19"/>
                <w:szCs w:val="19"/>
              </w:rPr>
              <w:t xml:space="preserve">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2.5</w:t>
              <w:tab/>
            </w:r>
            <w:r>
              <w:rPr>
                <w:rFonts w:ascii="Arial" w:hAnsi="Arial" w:eastAsia="Arial" w:cs="Arial"/>
                <w:b/>
                <w:sz w:val="19"/>
                <w:szCs w:val="19"/>
              </w:rPr>
              <w:t xml:space="preserve">Precautionary Statements:</w:t>
            </w:r>
          </w:p>
        </w:tc>
        <w:tc>
          <w:tcPr>
            <w:tcW w:w="6276" w:type="dxa"/>
            <w:tcBorders>
              <w:top w:val="dotted" w:color="auto" w:sz="4" w:space="0"/>
              <w:left w:val="dotted" w:color="auto" w:sz="4" w:space="0"/>
              <w:bottom w:val="dotted" w:color="auto" w:sz="4" w:space="0"/>
            </w:tcBorders>
            <w:vAlign w:val="center"/>
          </w:tcPr>
          <w:p>
            <w:pPr>
              <w:jc w:val="left"/>
            </w:pPr>
            <w:r>
              <w:rPr>
                <w:rFonts w:ascii="Arial" w:hAnsi="Arial" w:eastAsia="Arial" w:cs="Arial"/>
                <w:b/>
                <w:sz w:val="19"/>
                <w:szCs w:val="19"/>
              </w:rPr>
              <w:t xml:space="preserve">Prevention:</w:t>
            </w:r>
          </w:p>
          <w:p>
            <w:pPr>
              <w:jc w:val="left"/>
            </w:pPr>
            <w:r>
              <w:rPr>
                <w:rFonts w:ascii="Arial" w:hAnsi="Arial" w:eastAsia="Arial" w:cs="Arial"/>
                <w:sz w:val="19"/>
                <w:szCs w:val="19"/>
              </w:rPr>
              <w:t xml:space="preserve">P201: Obtain special instructions before use.</w:t>
            </w:r>
          </w:p>
          <w:p>
            <w:pPr>
              <w:jc w:val="left"/>
            </w:pPr>
            <w:r>
              <w:rPr>
                <w:rFonts w:ascii="Arial" w:hAnsi="Arial" w:eastAsia="Arial" w:cs="Arial"/>
                <w:sz w:val="19"/>
                <w:szCs w:val="19"/>
              </w:rPr>
              <w:t xml:space="preserve">P202: Do not handle until all safety precautions have been read and understood.</w:t>
            </w:r>
          </w:p>
          <w:p>
            <w:pPr>
              <w:jc w:val="left"/>
            </w:pPr>
            <w:r>
              <w:rPr>
                <w:rFonts w:ascii="Arial" w:hAnsi="Arial" w:eastAsia="Arial" w:cs="Arial"/>
                <w:sz w:val="19"/>
                <w:szCs w:val="19"/>
              </w:rPr>
              <w:t xml:space="preserve">P280: Wear protective gloves/protective clothing/eye protection/face protection.</w:t>
            </w:r>
          </w:p>
          <w:p>
            <w:pPr>
              <w:jc w:val="left"/>
            </w:pPr>
            <w:r>
              <w:rPr>
                <w:rFonts w:ascii="Arial" w:hAnsi="Arial" w:eastAsia="Arial" w:cs="Arial"/>
                <w:b/>
                <w:sz w:val="19"/>
                <w:szCs w:val="19"/>
              </w:rPr>
              <w:t xml:space="preserve">Response:</w:t>
            </w:r>
          </w:p>
          <w:p>
            <w:pPr>
              <w:jc w:val="left"/>
            </w:pPr>
            <w:r>
              <w:rPr>
                <w:rFonts w:ascii="Arial" w:hAnsi="Arial" w:eastAsia="Arial" w:cs="Arial"/>
                <w:sz w:val="19"/>
                <w:szCs w:val="19"/>
              </w:rPr>
              <w:t xml:space="preserve">P308 + P313: IF exposed or concerned: Get medical advice/attention.</w:t>
            </w:r>
          </w:p>
          <w:p>
            <w:pPr>
              <w:jc w:val="left"/>
            </w:pPr>
            <w:r>
              <w:rPr>
                <w:rFonts w:ascii="Arial" w:hAnsi="Arial" w:eastAsia="Arial" w:cs="Arial"/>
                <w:b/>
                <w:sz w:val="19"/>
                <w:szCs w:val="19"/>
              </w:rPr>
              <w:t xml:space="preserve">Storage:</w:t>
            </w:r>
          </w:p>
          <w:p>
            <w:pPr>
              <w:jc w:val="left"/>
            </w:pPr>
            <w:r>
              <w:rPr>
                <w:rFonts w:ascii="Arial" w:hAnsi="Arial" w:eastAsia="Arial" w:cs="Arial"/>
                <w:sz w:val="19"/>
                <w:szCs w:val="19"/>
              </w:rPr>
              <w:t xml:space="preserve">P405: Store locked up.</w:t>
            </w:r>
          </w:p>
          <w:p>
            <w:pPr>
              <w:jc w:val="left"/>
            </w:pPr>
            <w:r>
              <w:rPr>
                <w:rFonts w:ascii="Arial" w:hAnsi="Arial" w:eastAsia="Arial" w:cs="Arial"/>
                <w:b/>
                <w:sz w:val="19"/>
                <w:szCs w:val="19"/>
              </w:rPr>
              <w:t xml:space="preserve">Disposal:</w:t>
            </w:r>
          </w:p>
          <w:p>
            <w:pPr>
              <w:jc w:val="left"/>
            </w:pPr>
            <w:r>
              <w:rPr>
                <w:rFonts w:ascii="Arial" w:hAnsi="Arial" w:eastAsia="Arial" w:cs="Arial"/>
                <w:sz w:val="19"/>
                <w:szCs w:val="19"/>
              </w:rPr>
              <w:t xml:space="preserve">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2.6</w:t>
              <w:tab/>
            </w:r>
            <w:r>
              <w:rPr>
                <w:rFonts w:ascii="Arial" w:hAnsi="Arial" w:eastAsia="Arial" w:cs="Arial"/>
                <w:b/>
                <w:sz w:val="19"/>
                <w:szCs w:val="19"/>
              </w:rPr>
              <w:t xml:space="preserve">Other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rFonts w:ascii="Arial" w:hAnsi="Arial" w:eastAsia="Arial" w:cs="Arial"/>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rFonts w:ascii="Arial" w:hAnsi="Arial" w:eastAsia="Arial" w:cs="Arial"/>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Species: Mouse</w:t>
              <w:br/>
              <w:t>Classification: Not a skin sensitizer</w:t>
              <w:br/>
              <w:t>Result: Did not cause sensitization in laboratory animals</w:t>
            </w:r>
            <w:r>
              <w:rPr>
                <w:rFonts w:ascii="Arial" w:hAnsi="Arial" w:eastAsia="Arial" w:cs="Arial"/>
                <w:sz w:val="19"/>
                <w:szCs w:val="19"/>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PU-608-MSDS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2026/10/23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2740574911_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