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PU-202C</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textile coating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58CFEA4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5265585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2.1</w:t>
              <w:tab/>
            </w:r>
            <w:r>
              <w:rPr>
                <w:rFonts w:ascii="Arial" w:hAnsi="Arial" w:eastAsia="Arial" w:cs="Arial"/>
                <w:b/>
                <w:sz w:val="19"/>
                <w:szCs w:val="19"/>
              </w:rPr>
              <w:t xml:space="preserve">GHS Hazard Classification:</w:t>
            </w:r>
          </w:p>
        </w:tc>
        <w:tc>
          <w:tcPr>
            <w:tcW w:w="6276" w:type="dxa"/>
            <w:tcBorders>
              <w:top w:val="dotted" w:color="auto" w:sz="4" w:space="0"/>
              <w:left w:val="dotted" w:color="auto" w:sz="4" w:space="0"/>
              <w:bottom w:val="dotted" w:color="auto" w:sz="4" w:space="0"/>
            </w:tcBorders>
            <w:vAlign w:val="center"/>
          </w:tcPr>
          <w:p w14:paraId="5E05F77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Acute toxicity, Inhalation (Category 4), H332</w:t>
              <w:br/>
              <w:t>Skin corrosion/irritation (Category 3), H316</w:t>
              <w:br/>
              <w:t>Serious eye damage/eye irritation (Category 2B), H320</w:t>
              <w:br/>
              <w:t>Reproductive toxicity (Category 1B), H360</w:t>
              <w:br/>
              <w:t>Specific target organ toxicity - single exposure (Category 1), H370</w:t>
              <w:br/>
              <w:t>Specific target organ toxicity - repeated exposure (Category 2), H373</w:t>
            </w:r>
          </w:p>
        </w:tc>
      </w:tr>
      <w:tr w14:paraId="1BAEF0F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53" w:hRule="atLeast"/>
        </w:trPr>
        <w:tc>
          <w:tcPr>
            <w:tcW w:w="3519" w:type="dxa"/>
            <w:tcBorders>
              <w:top w:val="dotted" w:color="auto" w:sz="4" w:space="0"/>
              <w:bottom w:val="dotted" w:color="auto" w:sz="4" w:space="0"/>
              <w:right w:val="dotted" w:color="auto" w:sz="4" w:space="0"/>
            </w:tcBorders>
            <w:vAlign w:val="center"/>
          </w:tcPr>
          <w:p w14:paraId="613D3BD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2.2</w:t>
              <w:tab/>
            </w:r>
            <w:r>
              <w:rPr>
                <w:rFonts w:ascii="Arial" w:hAnsi="Arial" w:eastAsia="Arial" w:cs="Arial"/>
                <w:b/>
                <w:sz w:val="19"/>
                <w:szCs w:val="19"/>
              </w:rPr>
              <w:t xml:space="preserve">GHS Label Elements:</w:t>
            </w:r>
          </w:p>
        </w:tc>
        <w:tc>
          <w:tcPr>
            <w:tcW w:w="6276" w:type="dxa"/>
            <w:tcBorders>
              <w:top w:val="dotted" w:color="auto" w:sz="4" w:space="0"/>
              <w:left w:val="dotted" w:color="auto" w:sz="4" w:space="0"/>
              <w:bottom w:val="dotted" w:color="auto" w:sz="4" w:space="0"/>
            </w:tcBorders>
            <w:vAlign w:val="center"/>
          </w:tcPr>
          <w:p w14:paraId="103A673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
            </w:r>
          </w:p>
        </w:tc>
      </w:tr>
      <w:tr w14:paraId="432D88C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B1CC2D8">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pPr>
            <w:r>
              <w:rPr>
                <w:rFonts w:ascii="Arial" w:hAnsi="Arial" w:eastAsia="Arial" w:cs="Arial"/>
                <w:b/>
                <w:sz w:val="19"/>
                <w:szCs w:val="19"/>
              </w:rPr>
              <w:t xml:space="preserve">GHS Pictograms:</w:t>
            </w:r>
          </w:p>
        </w:tc>
        <w:tc>
          <w:tcPr>
            <w:tcW w:w="6276" w:type="dxa"/>
            <w:tcBorders>
              <w:top w:val="dotted" w:color="auto" w:sz="4" w:space="0"/>
              <w:left w:val="dotted" w:color="auto" w:sz="4" w:space="0"/>
              <w:bottom w:val="dotted" w:color="auto" w:sz="4" w:space="0"/>
            </w:tcBorders>
            <w:vAlign w:val="center"/>
          </w:tcPr>
          <w:p w14:paraId="698B97E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rFonts w:ascii="Arial" w:hAnsi="Arial" w:eastAsia="Arial" w:cs="Arial"/>
                <w:sz w:val="19"/>
                <w:szCs w:val="19"/>
              </w:rP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rPr>
                <w:rFonts w:ascii="Arial" w:hAnsi="Arial" w:eastAsia="Arial" w:cs="Arial"/>
                <w:sz w:val="19"/>
                <w:szCs w:val="19"/>
              </w:rP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tc>
      </w:tr>
      <w:tr w14:paraId="0D72AC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70C5F57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2.3</w:t>
              <w:tab/>
            </w:r>
            <w:r>
              <w:rPr>
                <w:rFonts w:ascii="Arial" w:hAnsi="Arial" w:eastAsia="Arial" w:cs="Arial"/>
                <w:b/>
                <w:sz w:val="19"/>
                <w:szCs w:val="19"/>
              </w:rPr>
              <w:t xml:space="preserve">Signal Word:</w:t>
            </w:r>
          </w:p>
        </w:tc>
        <w:tc>
          <w:tcPr>
            <w:tcW w:w="6276" w:type="dxa"/>
            <w:tcBorders>
              <w:top w:val="dotted" w:color="auto" w:sz="4" w:space="0"/>
              <w:left w:val="dotted" w:color="auto" w:sz="4" w:space="0"/>
              <w:bottom w:val="dotted" w:color="auto" w:sz="4" w:space="0"/>
            </w:tcBorders>
            <w:vAlign w:val="center"/>
          </w:tcPr>
          <w:p w14:paraId="6835187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Danger</w:t>
            </w:r>
          </w:p>
        </w:tc>
      </w:tr>
      <w:tr w14:paraId="40FDA4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1B9F7D79">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2.4</w:t>
              <w:tab/>
            </w:r>
            <w:r>
              <w:rPr>
                <w:rFonts w:ascii="Arial" w:hAnsi="Arial" w:eastAsia="Arial" w:cs="Arial"/>
                <w:b/>
                <w:sz w:val="19"/>
                <w:szCs w:val="19"/>
              </w:rPr>
              <w:t xml:space="preserve">Hazard Statements:</w:t>
            </w:r>
          </w:p>
        </w:tc>
        <w:tc>
          <w:tcPr>
            <w:tcW w:w="6276" w:type="dxa"/>
            <w:tcBorders>
              <w:top w:val="dotted" w:color="auto" w:sz="4" w:space="0"/>
              <w:left w:val="dotted" w:color="auto" w:sz="4" w:space="0"/>
              <w:bottom w:val="dotted" w:color="auto" w:sz="4" w:space="0"/>
            </w:tcBorders>
            <w:vAlign w:val="center"/>
          </w:tcPr>
          <w:p w14:paraId="7386FB9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H316: Causes mild skin irritation.</w:t>
              <w:br/>
              <w:t>H320: Causes eye irritation.</w:t>
              <w:br/>
              <w:t>H332: Harmful if inhaled.</w:t>
              <w:br/>
              <w:t>H360: May damage the unborn child.</w:t>
              <w:br/>
              <w:t>H370: Causes damage to organs.</w:t>
              <w:br/>
              <w:t>H373: May cause damage to organs through prolonged or repeated exposure.</w:t>
            </w:r>
          </w:p>
        </w:tc>
      </w:tr>
      <w:tr w14:paraId="76C1C02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0CA834F1">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2.5</w:t>
              <w:tab/>
            </w:r>
            <w:r>
              <w:rPr>
                <w:rFonts w:ascii="Arial" w:hAnsi="Arial" w:eastAsia="Arial" w:cs="Arial"/>
                <w:b/>
                <w:sz w:val="19"/>
                <w:szCs w:val="19"/>
              </w:rPr>
              <w:t xml:space="preserve">Precautionary Statements:</w:t>
            </w:r>
          </w:p>
        </w:tc>
        <w:tc>
          <w:tcPr>
            <w:tcW w:w="6276" w:type="dxa"/>
            <w:tcBorders>
              <w:top w:val="dotted" w:color="auto" w:sz="4" w:space="0"/>
              <w:left w:val="dotted" w:color="auto" w:sz="4" w:space="0"/>
              <w:bottom w:val="dotted" w:color="auto" w:sz="4" w:space="0"/>
            </w:tcBorders>
            <w:vAlign w:val="center"/>
          </w:tcPr>
          <w:p>
            <w:pPr>
              <w:jc w:val="left"/>
            </w:pPr>
            <w:r>
              <w:rPr>
                <w:rFonts w:ascii="Arial" w:hAnsi="Arial" w:eastAsia="Arial" w:cs="Arial"/>
                <w:b/>
                <w:sz w:val="19"/>
                <w:szCs w:val="19"/>
              </w:rPr>
              <w:t xml:space="preserve">Prevention:</w:t>
            </w:r>
          </w:p>
          <w:p>
            <w:pPr>
              <w:jc w:val="left"/>
            </w:pPr>
            <w:r>
              <w:rPr>
                <w:rFonts w:ascii="Arial" w:hAnsi="Arial" w:eastAsia="Arial" w:cs="Arial"/>
                <w:sz w:val="19"/>
                <w:szCs w:val="19"/>
              </w:rPr>
              <w:t xml:space="preserve">P201: Obtain special instructions before use.</w:t>
            </w:r>
          </w:p>
          <w:p>
            <w:pPr>
              <w:jc w:val="left"/>
            </w:pPr>
            <w:r>
              <w:rPr>
                <w:rFonts w:ascii="Arial" w:hAnsi="Arial" w:eastAsia="Arial" w:cs="Arial"/>
                <w:sz w:val="19"/>
                <w:szCs w:val="19"/>
              </w:rPr>
              <w:t xml:space="preserve">P202: Do not handle until all safety precautions have been read and understood.</w:t>
            </w:r>
          </w:p>
          <w:p>
            <w:pPr>
              <w:jc w:val="left"/>
            </w:pPr>
            <w:r>
              <w:rPr>
                <w:rFonts w:ascii="Arial" w:hAnsi="Arial" w:eastAsia="Arial" w:cs="Arial"/>
                <w:sz w:val="19"/>
                <w:szCs w:val="19"/>
              </w:rPr>
              <w:t xml:space="preserve">P260: Do not breathe dust/fume/gas/mist/vapours/spray.</w:t>
            </w:r>
          </w:p>
          <w:p>
            <w:pPr>
              <w:jc w:val="left"/>
            </w:pPr>
            <w:r>
              <w:rPr>
                <w:rFonts w:ascii="Arial" w:hAnsi="Arial" w:eastAsia="Arial" w:cs="Arial"/>
                <w:sz w:val="19"/>
                <w:szCs w:val="19"/>
              </w:rPr>
              <w:t xml:space="preserve">P264: Wash hands thoroughly after handling.</w:t>
            </w:r>
          </w:p>
          <w:p>
            <w:pPr>
              <w:jc w:val="left"/>
            </w:pPr>
            <w:r>
              <w:rPr>
                <w:rFonts w:ascii="Arial" w:hAnsi="Arial" w:eastAsia="Arial" w:cs="Arial"/>
                <w:sz w:val="19"/>
                <w:szCs w:val="19"/>
              </w:rPr>
              <w:t xml:space="preserve">P270: Do not eat, drink or smoke when using this product.</w:t>
            </w:r>
          </w:p>
          <w:p>
            <w:pPr>
              <w:jc w:val="left"/>
            </w:pPr>
            <w:r>
              <w:rPr>
                <w:rFonts w:ascii="Arial" w:hAnsi="Arial" w:eastAsia="Arial" w:cs="Arial"/>
                <w:sz w:val="19"/>
                <w:szCs w:val="19"/>
              </w:rPr>
              <w:t xml:space="preserve">P271: Use only outdoors or in a well-ventilated area.</w:t>
            </w:r>
          </w:p>
          <w:p>
            <w:pPr>
              <w:jc w:val="left"/>
            </w:pPr>
            <w:r>
              <w:rPr>
                <w:rFonts w:ascii="Arial" w:hAnsi="Arial" w:eastAsia="Arial" w:cs="Arial"/>
                <w:sz w:val="19"/>
                <w:szCs w:val="19"/>
              </w:rPr>
              <w:t xml:space="preserve">P280: Wear protective gloves/protective clothing/eye protection/face protection.</w:t>
            </w:r>
          </w:p>
          <w:p>
            <w:pPr>
              <w:jc w:val="left"/>
            </w:pPr>
            <w:r>
              <w:rPr>
                <w:rFonts w:ascii="Arial" w:hAnsi="Arial" w:eastAsia="Arial" w:cs="Arial"/>
                <w:b/>
                <w:sz w:val="19"/>
                <w:szCs w:val="19"/>
              </w:rPr>
              <w:t xml:space="preserve">Response:</w:t>
            </w:r>
          </w:p>
          <w:p>
            <w:pPr>
              <w:jc w:val="left"/>
            </w:pPr>
            <w:r>
              <w:rPr>
                <w:rFonts w:ascii="Arial" w:hAnsi="Arial" w:eastAsia="Arial" w:cs="Arial"/>
                <w:sz w:val="19"/>
                <w:szCs w:val="19"/>
              </w:rPr>
              <w:t xml:space="preserve">P304 + P340: IF INHALED: Remove person to fresh air and keep comfortable for breathing.</w:t>
            </w:r>
          </w:p>
          <w:p>
            <w:pPr>
              <w:jc w:val="left"/>
            </w:pPr>
            <w:r>
              <w:rPr>
                <w:rFonts w:ascii="Arial" w:hAnsi="Arial" w:eastAsia="Arial" w:cs="Arial"/>
                <w:sz w:val="19"/>
                <w:szCs w:val="19"/>
              </w:rPr>
              <w:t xml:space="preserve">P305 + P351 + P338: IF IN EYES: Rinse cautiously with water for several minutes. Remove contact lenses, if present and easy to do. Continue rinsing.</w:t>
            </w:r>
          </w:p>
          <w:p>
            <w:pPr>
              <w:jc w:val="left"/>
            </w:pPr>
            <w:r>
              <w:rPr>
                <w:rFonts w:ascii="Arial" w:hAnsi="Arial" w:eastAsia="Arial" w:cs="Arial"/>
                <w:sz w:val="19"/>
                <w:szCs w:val="19"/>
              </w:rPr>
              <w:t xml:space="preserve">P308 + P313: IF exposed or concerned: Get medical advice/attention.</w:t>
            </w:r>
          </w:p>
          <w:p>
            <w:pPr>
              <w:jc w:val="left"/>
            </w:pPr>
            <w:r>
              <w:rPr>
                <w:rFonts w:ascii="Arial" w:hAnsi="Arial" w:eastAsia="Arial" w:cs="Arial"/>
                <w:sz w:val="19"/>
                <w:szCs w:val="19"/>
              </w:rPr>
              <w:t xml:space="preserve">P337 + P313: If eye irritation persists: Get medical advice/attention.</w:t>
            </w:r>
          </w:p>
          <w:p>
            <w:pPr>
              <w:jc w:val="left"/>
            </w:pPr>
            <w:r>
              <w:rPr>
                <w:rFonts w:ascii="Arial" w:hAnsi="Arial" w:eastAsia="Arial" w:cs="Arial"/>
                <w:sz w:val="19"/>
                <w:szCs w:val="19"/>
              </w:rPr>
              <w:t xml:space="preserve">P370 + P378: In case of fire: Use water spray, alcohol-resistant foam, dry chemical or carbon dioxide to extinguish.</w:t>
            </w:r>
          </w:p>
          <w:p>
            <w:pPr>
              <w:jc w:val="left"/>
            </w:pPr>
            <w:r>
              <w:rPr>
                <w:rFonts w:ascii="Arial" w:hAnsi="Arial" w:eastAsia="Arial" w:cs="Arial"/>
                <w:b/>
                <w:sz w:val="19"/>
                <w:szCs w:val="19"/>
              </w:rPr>
              <w:t xml:space="preserve">Storage:</w:t>
            </w:r>
          </w:p>
          <w:p>
            <w:pPr>
              <w:jc w:val="left"/>
            </w:pPr>
            <w:r>
              <w:rPr>
                <w:rFonts w:ascii="Arial" w:hAnsi="Arial" w:eastAsia="Arial" w:cs="Arial"/>
                <w:sz w:val="19"/>
                <w:szCs w:val="19"/>
              </w:rPr>
              <w:t xml:space="preserve">P405: Store locked up.</w:t>
            </w:r>
          </w:p>
          <w:p>
            <w:pPr>
              <w:jc w:val="left"/>
            </w:pPr>
            <w:r>
              <w:rPr>
                <w:rFonts w:ascii="Arial" w:hAnsi="Arial" w:eastAsia="Arial" w:cs="Arial"/>
                <w:b/>
                <w:sz w:val="19"/>
                <w:szCs w:val="19"/>
              </w:rPr>
              <w:t xml:space="preserve">Disposal:</w:t>
            </w:r>
          </w:p>
          <w:p>
            <w:pPr>
              <w:jc w:val="left"/>
            </w:pPr>
            <w:r>
              <w:rPr>
                <w:rFonts w:ascii="Arial" w:hAnsi="Arial" w:eastAsia="Arial" w:cs="Arial"/>
                <w:sz w:val="19"/>
                <w:szCs w:val="19"/>
              </w:rPr>
              <w:t xml:space="preserve">P501: Dispose of contents/container in accordance with local/regional/national/international regulations.</w:t>
            </w:r>
          </w:p>
        </w:tc>
      </w:tr>
      <w:tr w14:paraId="3109C6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C1E34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2.6</w:t>
              <w:tab/>
            </w:r>
            <w:r>
              <w:rPr>
                <w:rFonts w:ascii="Arial" w:hAnsi="Arial" w:eastAsia="Arial" w:cs="Arial"/>
                <w:b/>
                <w:sz w:val="19"/>
                <w:szCs w:val="19"/>
              </w:rPr>
              <w:t xml:space="preserve">Other Hazards:</w:t>
            </w:r>
          </w:p>
        </w:tc>
        <w:tc>
          <w:tcPr>
            <w:tcW w:w="6276" w:type="dxa"/>
            <w:tcBorders>
              <w:top w:val="dotted" w:color="auto" w:sz="4" w:space="0"/>
              <w:left w:val="dotted" w:color="auto" w:sz="4" w:space="0"/>
              <w:bottom w:val="dotted" w:color="auto" w:sz="4" w:space="0"/>
            </w:tcBorders>
            <w:vAlign w:val="center"/>
          </w:tcPr>
          <w:p w14:paraId="3569688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w:t>
              <w:br/>
              <w:t>(applicable only where respirable aerosols are formed)</w:t>
              <w:br/>
              <w:t>LC50 / Inhalation / 4h / Rat: 2.2mg/l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Dermal / Guinea pig: ＜940mg/kg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 xml:space="preserve">Animal testing showed no reproductive toxicity. </w:t>
              <w:br/>
              <w:t>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PU-202C-MSDS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PU-202C</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24951363_0.png"/><Relationship Id="rId32" Type="http://schemas.openxmlformats.org/officeDocument/2006/relationships/image" Target="media/image_ghs_1793324951363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