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吸入：半数致死浓度（LC50）/1h/大鼠 雌性：8.81mg/l（此值仅用于有可吸入的颗粒形成的情况。）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原发性皮肤刺激：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物种：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分类：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结果：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致癌性：在动物试验中未见致癌影响。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特异性靶器官系统毒性（一次接触/反复接触）：无数据资料。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重复剂量中毒：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病理变化：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重复剂量中毒：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 xml:space="preserve">病理变化：</w:t>
            </w:r>
            <w:r>
              <w:rPr>
                <w:rFonts w:ascii="宋体" w:hAnsi="宋体" w:eastAsia="宋体"/>
                <w:b w:val="0"/>
                <w:sz w:val="24"/>
              </w:rPr>
              <w:t xml:space="preserve">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56728997_0.png"/><Relationship Id="rId32" Type="http://schemas.openxmlformats.org/officeDocument/2006/relationships/image" Target="media/image_ghs_1793256728998_1.png"/><Relationship Id="rId42" Type="http://schemas.openxmlformats.org/officeDocument/2006/relationships/image" Target="media/image_ghs_1793256735329_0.png"/><Relationship Id="rId53" Type="http://schemas.openxmlformats.org/officeDocument/2006/relationships/image" Target="media/image_ghs_1793256735329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