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tcPr>
          <w:p w14:paraId="22A157D7">
            <w:pPr>
              <w:keepNext w:val="0"/>
              <w:keepLines w:val="0"/>
              <w:pageBreakBefore w:val="0"/>
              <w:widowControl w:val="0"/>
              <w:kinsoku/>
              <w:wordWrap/>
              <w:overflowPunct/>
              <w:topLinePunct w:val="0"/>
              <w:bidi w:val="0"/>
              <w:adjustRightInd/>
              <w:snapToGrid/>
              <w:spacing w:line="300" w:lineRule="auto"/>
              <w:jc w:val="left"/>
              <w:textAlignment w:val="auto"/>
              <w:rPr>
                <w:rFonts w:hint="eastAsia" w:cs="Arial"/>
                <w:kern w:val="0"/>
                <w:sz w:val="24"/>
                <w:lang w:val="en-US" w:eastAsia="zh-CN"/>
              </w:rPr>
            </w:pPr>
            <w:r>
              <w:rPr>
                <w:rFonts w:hint="eastAsia" w:cs="Arial" w:eastAsia="宋体" w:ascii="Arial" w:hAnsi="Arial"/>
                <w:b w:val="0"/>
                <w:bCs w:val="0"/>
                <w:kern w:val="0"/>
                <w:sz w:val="24"/>
                <w:szCs w:val="24"/>
                <w:lang w:val="en-US" w:eastAsia="zh-CN"/>
              </w:rPr>
              <w:t>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tcPr>
          <w:p>
            <w:pPr>
              <w:spacing w:line="300" w:lineRule="auto"/>
              <w:ind w:left="34" w:leftChars="16" w:right="480"/>
              <w:jc w:val="left"/>
              <w:rPr>
                <w:sz w:val="24"/>
              </w:rPr>
            </w:pPr>
            <w:r>
              <w:rPr>
                <w:rFonts w:ascii="Arial" w:hAnsi="Arial"/>
                <w:b w:val="0"/>
                <w:sz w:val="24"/>
                <w:szCs w:val="24"/>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3,000-6,000mg/kg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8.81mg/l(applicable only where respirable aerosols are formed)</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b/>
                <w:sz w:val="19"/>
                <w:szCs w:val="19"/>
              </w:rPr>
              <w:t xml:space="preserve">Species: </w:t>
            </w:r>
            <w:r>
              <w:rPr>
                <w:rFonts w:ascii="Arial" w:hAnsi="Arial" w:eastAsia="Arial" w:cs="Arial"/>
                <w:sz w:val="19"/>
                <w:szCs w:val="19"/>
              </w:rPr>
              <w:t xml:space="preserve">Rabbit</w:t>
            </w:r>
          </w:p>
          <w:p>
            <w:pPr>
              <w:spacing w:line="300" w:lineRule="auto"/>
              <w:rPr>
                <w:sz w:val="24"/>
              </w:rPr>
              <w:jc w:val="left"/>
            </w:pPr>
            <w:r>
              <w:rPr>
                <w:rFonts w:ascii="Arial" w:hAnsi="Arial" w:eastAsia="Arial" w:cs="Arial"/>
                <w:b/>
                <w:sz w:val="19"/>
                <w:szCs w:val="19"/>
              </w:rPr>
              <w:t xml:space="preserve">Classification: </w:t>
            </w:r>
            <w:r>
              <w:rPr>
                <w:rFonts w:ascii="Arial" w:hAnsi="Arial" w:eastAsia="Arial" w:cs="Arial"/>
                <w:sz w:val="19"/>
                <w:szCs w:val="19"/>
              </w:rPr>
              <w:t xml:space="preserve">Irritating to skin</w:t>
            </w:r>
          </w:p>
          <w:p>
            <w:pPr>
              <w:spacing w:line="300" w:lineRule="auto"/>
              <w:rPr>
                <w:sz w:val="24"/>
              </w:rPr>
              <w:jc w:val="left"/>
            </w:pPr>
            <w:r>
              <w:rPr>
                <w:rFonts w:ascii="Arial" w:hAnsi="Arial" w:eastAsia="Arial" w:cs="Arial"/>
                <w:b/>
                <w:sz w:val="19"/>
                <w:szCs w:val="19"/>
              </w:rPr>
              <w:t xml:space="preserve">Result: </w:t>
            </w:r>
            <w:r>
              <w:rPr>
                <w:rFonts w:ascii="Arial" w:hAnsi="Arial" w:eastAsia="Arial" w:cs="Arial"/>
                <w:sz w:val="19"/>
                <w:szCs w:val="19"/>
              </w:rPr>
              <w:t xml:space="preserve">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b/>
                <w:sz w:val="19"/>
                <w:szCs w:val="19"/>
              </w:rPr>
              <w:t xml:space="preserve">Species: </w:t>
            </w:r>
            <w:r>
              <w:rPr>
                <w:rFonts w:ascii="Arial" w:hAnsi="Arial" w:eastAsia="Arial" w:cs="Arial"/>
                <w:sz w:val="19"/>
                <w:szCs w:val="19"/>
              </w:rPr>
              <w:t xml:space="preserve">Rabbit</w:t>
            </w:r>
          </w:p>
          <w:p>
            <w:pPr>
              <w:spacing w:line="300" w:lineRule="auto"/>
              <w:rPr>
                <w:sz w:val="24"/>
              </w:rPr>
              <w:jc w:val="left"/>
            </w:pPr>
            <w:r>
              <w:rPr>
                <w:rFonts w:ascii="Arial" w:hAnsi="Arial" w:eastAsia="Arial" w:cs="Arial"/>
                <w:b/>
                <w:sz w:val="19"/>
                <w:szCs w:val="19"/>
              </w:rPr>
              <w:t xml:space="preserve">Classification: </w:t>
            </w:r>
            <w:r>
              <w:rPr>
                <w:rFonts w:ascii="Arial" w:hAnsi="Arial" w:eastAsia="Arial" w:cs="Arial"/>
                <w:sz w:val="19"/>
                <w:szCs w:val="19"/>
              </w:rPr>
              <w:t xml:space="preserve">Irritating to eyes</w:t>
            </w:r>
          </w:p>
          <w:p>
            <w:pPr>
              <w:spacing w:line="300" w:lineRule="auto"/>
              <w:rPr>
                <w:sz w:val="24"/>
              </w:rPr>
              <w:jc w:val="left"/>
            </w:pPr>
            <w:r>
              <w:rPr>
                <w:rFonts w:ascii="Arial" w:hAnsi="Arial" w:eastAsia="Arial" w:cs="Arial"/>
                <w:b/>
                <w:sz w:val="19"/>
                <w:szCs w:val="19"/>
              </w:rPr>
              <w:t xml:space="preserve">Result: </w:t>
            </w:r>
            <w:r>
              <w:rPr>
                <w:rFonts w:ascii="Arial" w:hAnsi="Arial" w:eastAsia="Arial" w:cs="Arial"/>
                <w:sz w:val="19"/>
                <w:szCs w:val="19"/>
              </w:rPr>
              <w:t xml:space="preserve">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b/>
                <w:sz w:val="19"/>
                <w:szCs w:val="19"/>
              </w:rPr>
              <w:t xml:space="preserve">Species: </w:t>
            </w:r>
            <w:r>
              <w:rPr>
                <w:rFonts w:ascii="Arial" w:hAnsi="Arial" w:eastAsia="Arial" w:cs="Arial"/>
                <w:sz w:val="19"/>
                <w:szCs w:val="19"/>
              </w:rPr>
              <w:t xml:space="preserve">Guinea pig</w:t>
            </w:r>
          </w:p>
          <w:p>
            <w:pPr>
              <w:spacing w:line="300" w:lineRule="auto"/>
              <w:rPr>
                <w:sz w:val="24"/>
              </w:rPr>
              <w:jc w:val="left"/>
            </w:pPr>
            <w:r>
              <w:rPr>
                <w:rFonts w:ascii="Arial" w:hAnsi="Arial" w:eastAsia="Arial" w:cs="Arial"/>
                <w:b/>
                <w:sz w:val="19"/>
                <w:szCs w:val="19"/>
              </w:rPr>
              <w:t xml:space="preserve">Classification: </w:t>
            </w:r>
            <w:r>
              <w:rPr>
                <w:rFonts w:ascii="Arial" w:hAnsi="Arial" w:eastAsia="Arial" w:cs="Arial"/>
                <w:sz w:val="19"/>
                <w:szCs w:val="19"/>
              </w:rPr>
              <w:t xml:space="preserve">Not a skin sensitizer</w:t>
            </w:r>
          </w:p>
          <w:p>
            <w:pPr>
              <w:spacing w:line="300" w:lineRule="auto"/>
              <w:rPr>
                <w:sz w:val="24"/>
              </w:rPr>
              <w:jc w:val="left"/>
            </w:pPr>
            <w:r>
              <w:rPr>
                <w:rFonts w:ascii="Arial" w:hAnsi="Arial" w:eastAsia="Arial" w:cs="Arial"/>
                <w:b/>
                <w:sz w:val="19"/>
                <w:szCs w:val="19"/>
              </w:rPr>
              <w:t xml:space="preserve">Result: </w:t>
            </w:r>
            <w:r>
              <w:rPr>
                <w:rFonts w:ascii="Arial" w:hAnsi="Arial" w:eastAsia="Arial" w:cs="Arial"/>
                <w:sz w:val="19"/>
                <w:szCs w:val="19"/>
              </w:rPr>
              <w:t xml:space="preserve">Did not cause sensitization in laboratory animals</w:t>
            </w:r>
          </w:p>
          <w:p>
            <w:pPr>
              <w:spacing w:line="300" w:lineRule="auto"/>
              <w:rPr>
                <w:sz w:val="24"/>
              </w:rPr>
              <w:jc w:val="left"/>
            </w:pPr>
            <w:r>
              <w:rPr>
                <w:rFonts w:ascii="Arial" w:hAnsi="Arial" w:eastAsia="Arial" w:cs="Arial"/>
                <w:b/>
                <w:sz w:val="19"/>
                <w:szCs w:val="19"/>
              </w:rPr>
              <w:t xml:space="preserve">Species: </w:t>
            </w:r>
            <w:r>
              <w:rPr>
                <w:rFonts w:ascii="Arial" w:hAnsi="Arial" w:eastAsia="Arial" w:cs="Arial"/>
                <w:sz w:val="19"/>
                <w:szCs w:val="19"/>
              </w:rPr>
              <w:t xml:space="preserve">Human</w:t>
            </w:r>
          </w:p>
          <w:p>
            <w:pPr>
              <w:spacing w:line="300" w:lineRule="auto"/>
              <w:rPr>
                <w:sz w:val="24"/>
              </w:rPr>
              <w:jc w:val="left"/>
            </w:pPr>
            <w:r>
              <w:rPr>
                <w:rFonts w:ascii="Arial" w:hAnsi="Arial" w:eastAsia="Arial" w:cs="Arial"/>
                <w:b/>
                <w:sz w:val="19"/>
                <w:szCs w:val="19"/>
              </w:rPr>
              <w:t xml:space="preserve">Classification: </w:t>
            </w:r>
            <w:r>
              <w:rPr>
                <w:rFonts w:ascii="Arial" w:hAnsi="Arial" w:eastAsia="Arial" w:cs="Arial"/>
                <w:sz w:val="19"/>
                <w:szCs w:val="19"/>
              </w:rPr>
              <w:t xml:space="preserve">Not a skin sensitizer</w:t>
            </w:r>
          </w:p>
          <w:p>
            <w:pPr>
              <w:spacing w:line="300" w:lineRule="auto"/>
              <w:rPr>
                <w:sz w:val="24"/>
              </w:rPr>
              <w:jc w:val="left"/>
            </w:pPr>
            <w:r>
              <w:rPr>
                <w:rFonts w:ascii="Arial" w:hAnsi="Arial" w:eastAsia="Arial" w:cs="Arial"/>
                <w:b/>
                <w:sz w:val="19"/>
                <w:szCs w:val="19"/>
              </w:rPr>
              <w:t xml:space="preserve">Result: </w:t>
            </w:r>
            <w:r>
              <w:rPr>
                <w:rFonts w:ascii="Arial" w:hAnsi="Arial" w:eastAsia="Arial" w:cs="Arial"/>
                <w:sz w:val="19"/>
                <w:szCs w:val="19"/>
              </w:rPr>
              <w:t xml:space="preserve">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Did not cause genetic damage in bacterial cell culture. Did not cause genetic damage in mammalian cell culture. Evidence indicates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testing showed no reproductive toxicity. Animal experiments showed effects on the embryo at levels below those causing maternal toxicity. Reduced embryo-fetal viability, slow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b/>
                <w:sz w:val="19"/>
                <w:szCs w:val="19"/>
              </w:rPr>
              <w:t xml:space="preserve">Repeated dose toxicity: </w:t>
            </w:r>
            <w:r>
              <w:rPr>
                <w:rFonts w:ascii="Arial" w:hAnsi="Arial" w:eastAsia="Arial" w:cs="Arial"/>
                <w:b/>
                <w:sz w:val="19"/>
                <w:szCs w:val="19"/>
              </w:rPr>
              <w:t xml:space="preserve">Oral</w:t>
            </w:r>
          </w:p>
          <w:p>
            <w:pPr>
              <w:spacing w:line="300" w:lineRule="auto"/>
              <w:rPr>
                <w:sz w:val="24"/>
              </w:rPr>
              <w:jc w:val="left"/>
            </w:pPr>
            <w:r>
              <w:rPr>
                <w:rFonts w:ascii="Arial" w:hAnsi="Arial" w:eastAsia="Arial" w:cs="Arial"/>
                <w:b/>
                <w:sz w:val="19"/>
                <w:szCs w:val="19"/>
              </w:rPr>
              <w:t xml:space="preserve">Pathological changes: </w:t>
            </w:r>
            <w:r>
              <w:rPr>
                <w:rFonts w:ascii="Arial" w:hAnsi="Arial" w:eastAsia="Arial" w:cs="Arial"/>
                <w:sz w:val="19"/>
                <w:szCs w:val="19"/>
              </w:rPr>
              <w:t xml:space="preserve">stomach, testes, liver, kidneys, abnormal reduction of red blood cells.</w:t>
            </w:r>
          </w:p>
          <w:p>
            <w:pPr>
              <w:spacing w:line="300" w:lineRule="auto"/>
              <w:rPr>
                <w:sz w:val="24"/>
              </w:rPr>
              <w:jc w:val="left"/>
            </w:pPr>
            <w:r>
              <w:rPr>
                <w:rFonts w:ascii="Arial" w:hAnsi="Arial" w:eastAsia="Arial" w:cs="Arial"/>
                <w:b/>
                <w:sz w:val="19"/>
                <w:szCs w:val="19"/>
              </w:rPr>
              <w:t xml:space="preserve">Repeated dose toxicity: </w:t>
            </w:r>
            <w:r>
              <w:rPr>
                <w:rFonts w:ascii="Arial" w:hAnsi="Arial" w:eastAsia="Arial" w:cs="Arial"/>
                <w:b/>
                <w:sz w:val="19"/>
                <w:szCs w:val="19"/>
              </w:rPr>
              <w:t xml:space="preserve">Inhalation</w:t>
            </w:r>
          </w:p>
          <w:p>
            <w:pPr>
              <w:spacing w:line="300" w:lineRule="auto"/>
              <w:rPr>
                <w:sz w:val="24"/>
              </w:rPr>
              <w:jc w:val="left"/>
            </w:pPr>
            <w:r>
              <w:rPr>
                <w:rFonts w:ascii="Arial" w:hAnsi="Arial" w:eastAsia="Arial" w:cs="Arial"/>
                <w:b/>
                <w:sz w:val="19"/>
                <w:szCs w:val="19"/>
              </w:rPr>
              <w:t xml:space="preserve">Pathological changes: </w:t>
            </w:r>
            <w:r>
              <w:rPr>
                <w:rFonts w:ascii="Arial" w:hAnsi="Arial" w:eastAsia="Arial" w:cs="Arial"/>
                <w:sz w:val="19"/>
                <w:szCs w:val="19"/>
              </w:rPr>
              <w:t xml:space="preserve">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PU-202A-MSDS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56743292_0.png"/><Relationship Id="rId32" Type="http://schemas.openxmlformats.org/officeDocument/2006/relationships/image" Target="media/image_ghs_1793256743292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