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gridSpan w:val="4"/>
            <w:tcW w:w="9781" w:type="dxa"/>
          </w:tcPr>
          <w:p>
            <w:pPr>
              <w:spacing w:line="300" w:lineRule="auto"/>
              <w:ind w:left="34" w:leftChars="16" w:right="480"/>
              <w:jc w:val="left"/>
              <w:rPr>
                <w:sz w:val="19"/>
              </w:rPr>
            </w:pPr>
            <w:r>
              <w:rPr>
                <w:rFonts w:ascii="Arial" w:hAnsi="Arial" w:cs="Arial"/>
                <w:b w:val="0"/>
                <w:sz w:val="19"/>
                <w:szCs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rat: 3,000 - 6,000 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concentration (LC50) / 1h / rat female: 8.81 mg/l (This value is only for cases where inhalable particles are formed.)</w:t>
            </w:r>
          </w:p>
          <w:p>
            <w:pPr>
              <w:spacing w:line="300" w:lineRule="auto"/>
              <w:rPr>
                <w:sz w:val="24"/>
              </w:rPr>
              <w:jc w:val="left"/>
            </w:pPr>
            <w:r>
              <w:rPr>
                <w:rFonts w:ascii="Arial" w:hAnsi="Arial" w:eastAsia="Arial" w:cs="Arial"/>
                <w:sz w:val="19"/>
                <w:szCs w:val="19"/>
              </w:rPr>
              <w:t xml:space="preserve">Median lethal concentration (LC50) / 4h / rat female: 2.2 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guinea pig: &lt; 940 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Did not cause genetic damage in bacterial cell cultures. Did not cause genetic damage in mammalian cell cultures. Evidence indicates this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pPr>
              <w:spacing w:line="300" w:lineRule="auto"/>
              <w:rPr>
                <w:sz w:val="24"/>
              </w:rPr>
              <w:jc w:val="left"/>
            </w:pPr>
            <w:r>
              <w:rPr>
                <w:rFonts w:ascii="Arial" w:hAnsi="Arial" w:eastAsia="Arial" w:cs="Arial"/>
                <w:sz w:val="19"/>
                <w:szCs w:val="19"/>
              </w:rPr>
              <w:t xml:space="preserve">Animal studies show no reproductive toxicity. Animal studies indicate effects on embryos at doses below those causing maternal toxicity. Decreased embryo-fetal viability, retarded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 / repeated exposure):</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PU-202A-MSDS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320508950_0.png"/><Relationship Id="rId32" Type="http://schemas.openxmlformats.org/officeDocument/2006/relationships/image" Target="media/image_ghs_1793320508951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