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羟基丙烯酸分散体 PA-3223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丙烯酸聚合物分散体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5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04E7DF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GHS危险性类别: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>无</w:t>
            </w:r>
          </w:p>
          <w:p w14:paraId="7A39F8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/>
                <w:bCs/>
                <w:sz w:val="24"/>
                <w:szCs w:val="24"/>
              </w:rPr>
              <w:t>羟基丙烯酸酯聚合物GHS危险性分类：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；</w:t>
            </w:r>
          </w:p>
          <w:p w14:paraId="6B7007B8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标签要素</w:t>
            </w:r>
            <w:r>
              <w:rPr>
                <w:rFonts w:hint="eastAsia"/>
                <w:sz w:val="24"/>
              </w:rPr>
              <w:t>：</w:t>
            </w:r>
          </w:p>
          <w:p w14:paraId="66269949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请注意以下物质：</w:t>
            </w:r>
          </w:p>
          <w:p w14:paraId="6929AF55">
            <w:pPr>
              <w:spacing w:line="300" w:lineRule="auto"/>
              <w:ind w:right="480" w:firstLine="480" w:firstLineChars="20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,N-</w:t>
            </w:r>
            <w:r>
              <w:rPr>
                <w:rFonts w:hint="eastAsia"/>
                <w:sz w:val="24"/>
              </w:rPr>
              <w:t>二甲基乙醇胺，中和剂，已键合为盐，质量浓度小于2.0%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特定阈值浓度≥5%</w:t>
            </w:r>
          </w:p>
          <w:p w14:paraId="6A1E0ADB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GHS分类：</w:t>
            </w:r>
          </w:p>
          <w:p w14:paraId="003E7D43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易燃</w:t>
            </w:r>
            <w:r>
              <w:rPr>
                <w:rFonts w:hint="eastAsia"/>
                <w:sz w:val="24"/>
              </w:rPr>
              <w:t>液体3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H226；</w:t>
            </w:r>
          </w:p>
          <w:p w14:paraId="26E7AA6F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急性毒性4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吸入性 H332；</w:t>
            </w:r>
          </w:p>
          <w:p w14:paraId="2A9B7DAE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急性毒性4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经皮H312；</w:t>
            </w:r>
          </w:p>
          <w:p w14:paraId="6DA08FD0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皮肤腐蚀1</w:t>
            </w:r>
            <w:r>
              <w:rPr>
                <w:sz w:val="24"/>
              </w:rPr>
              <w:t>B H314</w:t>
            </w:r>
            <w:r>
              <w:rPr>
                <w:rFonts w:hint="eastAsia"/>
                <w:sz w:val="24"/>
              </w:rPr>
              <w:t>；</w:t>
            </w:r>
          </w:p>
          <w:p w14:paraId="30EF191A">
            <w:pPr>
              <w:spacing w:line="300" w:lineRule="auto"/>
              <w:ind w:right="480"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特异性靶器官系统毒性（一次接触）3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H335</w:t>
            </w:r>
          </w:p>
          <w:p w14:paraId="1D572C46">
            <w:pPr>
              <w:spacing w:line="300" w:lineRule="auto"/>
              <w:ind w:right="480"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特异性靶器官系统毒性（一次接触）3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H335</w:t>
            </w:r>
          </w:p>
          <w:p w14:paraId="583C7BB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象形图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sz w:val="24"/>
              </w:rPr>
              <w:t>无</w:t>
            </w:r>
          </w:p>
          <w:p w14:paraId="04C4C9C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警告词：</w:t>
            </w:r>
            <w:r>
              <w:rPr>
                <w:rFonts w:hint="eastAsia"/>
                <w:sz w:val="24"/>
              </w:rPr>
              <w:t>警告</w:t>
            </w:r>
          </w:p>
          <w:p w14:paraId="792759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危害性说明:</w:t>
            </w:r>
            <w:r>
              <w:rPr>
                <w:rFonts w:hint="eastAsia"/>
                <w:sz w:val="24"/>
              </w:rPr>
              <w:t>没有明显的已知作用或严重危险。</w:t>
            </w:r>
          </w:p>
          <w:p w14:paraId="05423AAD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防范说明:</w:t>
            </w:r>
          </w:p>
          <w:p w14:paraId="6544D053">
            <w:pPr>
              <w:spacing w:line="300" w:lineRule="auto"/>
              <w:ind w:firstLine="482" w:firstLineChars="20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预防措施：</w:t>
            </w:r>
          </w:p>
          <w:p w14:paraId="52D43DF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操作时穿戴必要的防护用品（手套、防护镜、工作服等）。</w:t>
            </w:r>
          </w:p>
          <w:p w14:paraId="5E60DD9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操作后彻底清洗身体接触部位。</w:t>
            </w:r>
          </w:p>
          <w:p w14:paraId="30FDF62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作业场所不得进食，饮水或吸烟。</w:t>
            </w:r>
          </w:p>
          <w:p w14:paraId="241BC2EA">
            <w:pPr>
              <w:spacing w:line="300" w:lineRule="auto"/>
              <w:ind w:firstLine="960" w:firstLineChars="400"/>
              <w:rPr>
                <w:sz w:val="24"/>
              </w:rPr>
            </w:pPr>
            <w:r>
              <w:rPr>
                <w:rFonts w:hint="eastAsia"/>
                <w:sz w:val="24"/>
              </w:rPr>
              <w:t>在室外或通风良好处操作。</w:t>
            </w:r>
          </w:p>
          <w:p w14:paraId="7EE30055">
            <w:pPr>
              <w:spacing w:line="300" w:lineRule="auto"/>
              <w:ind w:firstLine="482" w:firstLineChars="20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事故响应：</w:t>
            </w:r>
          </w:p>
          <w:p w14:paraId="7F82305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吸入：一旦吸入，如有不适，就医。</w:t>
            </w:r>
          </w:p>
          <w:p w14:paraId="287BF0A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眼睛、皮肤接触；使用肥皂、清水等清洗即可。如有不适感，就医。</w:t>
            </w:r>
          </w:p>
          <w:p w14:paraId="3F63DC9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食入：立即漱口，禁止催吐，立即就医诊治。</w:t>
            </w:r>
          </w:p>
          <w:p w14:paraId="654CBFC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泄露：收集泄漏物。</w:t>
            </w:r>
            <w:bookmarkStart w:id="0" w:name="_GoBack"/>
            <w:bookmarkEnd w:id="0"/>
          </w:p>
          <w:p w14:paraId="24C809B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</w:t>
            </w:r>
            <w:r>
              <w:rPr>
                <w:rFonts w:hint="eastAsia"/>
                <w:sz w:val="24"/>
              </w:rPr>
              <w:t>灭火：火灾时，使用干粉、泡沫、二氧化碳灭火。</w:t>
            </w:r>
          </w:p>
          <w:p w14:paraId="32FC294C">
            <w:pPr>
              <w:spacing w:line="300" w:lineRule="auto"/>
              <w:ind w:firstLine="482" w:firstLineChars="20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安全存储：</w:t>
            </w:r>
          </w:p>
          <w:p w14:paraId="042141F7">
            <w:pPr>
              <w:spacing w:line="300" w:lineRule="auto"/>
              <w:ind w:left="1199" w:leftChars="228" w:hanging="720" w:hangingChars="3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请置于避光、阴凉干燥处存放，存储温度应保持在5-35℃，避免霜冻，保持产品</w:t>
            </w:r>
          </w:p>
          <w:p w14:paraId="227E4C21">
            <w:pPr>
              <w:spacing w:line="300" w:lineRule="auto"/>
              <w:ind w:left="1198" w:leftChars="456" w:hanging="240" w:hangingChars="100"/>
              <w:rPr>
                <w:sz w:val="24"/>
              </w:rPr>
            </w:pPr>
            <w:r>
              <w:rPr>
                <w:rFonts w:hint="eastAsia"/>
                <w:sz w:val="24"/>
              </w:rPr>
              <w:t>装完整。每次取用之后立即密封，打开包装后尽快使用完毕。</w:t>
            </w:r>
          </w:p>
          <w:p w14:paraId="6B327381">
            <w:pPr>
              <w:spacing w:line="300" w:lineRule="auto"/>
              <w:ind w:firstLine="482" w:firstLineChars="20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废弃处置：</w:t>
            </w:r>
          </w:p>
          <w:p w14:paraId="01AAF753">
            <w:pPr>
              <w:spacing w:line="300" w:lineRule="auto"/>
              <w:ind w:left="959" w:leftChars="228" w:hanging="480" w:hanging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使用后的空桶未经无害化处理前，不得存储食物及其他物品，以免对人体、环境造成危害；包装物的回收、利用、处置应符合国家及当地相关法律、法规规定，因包装物处置不当造成的危害及损失，由处置方承担。</w:t>
            </w:r>
          </w:p>
          <w:p w14:paraId="3528CB2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物理化学危险：</w:t>
            </w:r>
            <w:r>
              <w:rPr>
                <w:rFonts w:hint="eastAsia"/>
                <w:sz w:val="24"/>
              </w:rPr>
              <w:t>对水体、土壤可造成一定的污染。</w:t>
            </w:r>
          </w:p>
          <w:p w14:paraId="65B35BD3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健康危害：</w:t>
            </w:r>
            <w:r>
              <w:rPr>
                <w:rFonts w:hint="eastAsia"/>
                <w:sz w:val="24"/>
              </w:rPr>
              <w:t>无</w:t>
            </w:r>
          </w:p>
          <w:p w14:paraId="2798F8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</w:rPr>
              <w:t>环境危害：</w:t>
            </w:r>
            <w:r>
              <w:rPr>
                <w:rFonts w:hint="eastAsia"/>
                <w:sz w:val="24"/>
              </w:rPr>
              <w:t>无危险物质释放，防止进入下水道，以防聚合物沉积阻塞下水道。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CAS</w:t>
            </w:r>
            <w:r>
              <w:rPr>
                <w:rFonts w:hint="eastAsia"/>
                <w:b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  <w:lang w:val="en-US" w:eastAsia="zh-CN"/>
              </w:rPr>
              <w:t>含量</w:t>
            </w:r>
            <w:r>
              <w:rPr>
                <w:b/>
                <w:sz w:val="24"/>
                <w:u w:val="single"/>
              </w:rPr>
              <w:t>%</w:t>
            </w:r>
            <w:r>
              <w:rPr>
                <w:rFonts w:hint="eastAsia" w:hAnsi="Arial"/>
                <w:b/>
                <w:sz w:val="24"/>
                <w:u w:val="single"/>
              </w:rPr>
              <w:t>（</w:t>
            </w:r>
            <w:r>
              <w:rPr>
                <w:b/>
                <w:sz w:val="24"/>
                <w:u w:val="single"/>
              </w:rPr>
              <w:t>w/w</w:t>
            </w:r>
            <w:r>
              <w:rPr>
                <w:rFonts w:hint="eastAsia" w:hAnsi="Arial"/>
                <w:b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羟基丙烯酸酯聚合物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46±5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45.5±5</w:t>
            </w:r>
          </w:p>
        </w:tc>
      </w:tr>
      <w:tr w14:paraId="1B2A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B3B1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166F2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5131-66-8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EC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7±3</w:t>
            </w:r>
          </w:p>
        </w:tc>
      </w:tr>
      <w:tr w14:paraId="299C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16FE5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3F07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C55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远离食物、饮料和烟草。休息以前和工作结束时洗手。将工作服单独存放。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更换被污染或浸湿的衣物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95℃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动力粘度（25℃）：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50-4000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ascii="Arial" w:hAns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下面是这些成分的毒理学数据。</w:t>
            </w:r>
          </w:p>
        </w:tc>
      </w:tr>
      <w:tr w14:paraId="6915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</w:tcPr>
          <w:p w14:paraId="3B6F1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羟基聚丙烯酸酯分散体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毒性：无资料；</w:t>
            </w:r>
          </w:p>
          <w:p w14:paraId="4B25A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刺激性：无资料</w:t>
            </w:r>
          </w:p>
          <w:p w14:paraId="4C3A6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丙二醇丁醚：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毒性：经皮（鼠）LD50：＞2000 mg/kg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      吸入（鼠）LD50：＞1997.718 mg/l/8hE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      经口（鼠）LD50：＞2000 mg/kg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刺激性：无资料</w:t>
            </w:r>
          </w:p>
          <w:p w14:paraId="0EC53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二乙二醇丁醚：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毒性：经皮（鼠）LD50：＞2000 mg/kg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      经口（鼠）LD50：=4500 mg/kg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刺激性：无资料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可根据化学工业现存的回收方案送往适当的收集点处理。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容器应按照国家法令和环境相关法规进行回收。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温度不可高于+50℃，温度不可低于－5℃。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jc w:val="lef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PA-3223-MSDS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修订日期：2026/10/24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PA-3223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146104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2573</Words>
  <Characters>3028</Characters>
  <Lines>18</Lines>
  <Paragraphs>5</Paragraphs>
  <TotalTime>3</TotalTime>
  <ScaleCrop>false</ScaleCrop>
  <LinksUpToDate>false</LinksUpToDate>
  <CharactersWithSpaces>3255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2026-10-26T03:28:56Z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